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13"/>
          <w:szCs w:val="13"/>
        </w:rPr>
      </w:pPr>
      <w:bookmarkStart w:colFirst="0" w:colLast="0" w:name="_ujzgdznvabil" w:id="0"/>
      <w:bookmarkEnd w:id="0"/>
      <w:r w:rsidDel="00000000" w:rsidR="00000000" w:rsidRPr="00000000">
        <w:rPr>
          <w:rtl w:val="0"/>
        </w:rPr>
      </w:r>
    </w:p>
    <w:p w:rsidR="00000000" w:rsidDel="00000000" w:rsidP="00000000" w:rsidRDefault="00000000" w:rsidRPr="00000000" w14:paraId="00000002">
      <w:pPr>
        <w:spacing w:before="96" w:lineRule="auto"/>
        <w:ind w:left="1536" w:firstLine="0"/>
        <w:rPr>
          <w:rFonts w:ascii="Arial" w:cs="Arial" w:eastAsia="Arial" w:hAnsi="Arial"/>
          <w:i w:val="1"/>
          <w:sz w:val="18"/>
          <w:szCs w:val="18"/>
        </w:rPr>
      </w:pPr>
      <w:r w:rsidDel="00000000" w:rsidR="00000000" w:rsidRPr="00000000">
        <w:rPr>
          <w:rFonts w:ascii="Arial" w:cs="Arial" w:eastAsia="Arial" w:hAnsi="Arial"/>
          <w:i w:val="1"/>
          <w:color w:val="333333"/>
          <w:sz w:val="18"/>
          <w:szCs w:val="18"/>
          <w:rtl w:val="0"/>
        </w:rPr>
        <w:t xml:space="preserve">“Las palabras llevan a las acciones… Preparan el alma, la alistan y la mueven a la ternura” </w:t>
      </w:r>
      <w:r w:rsidDel="00000000" w:rsidR="00000000" w:rsidRPr="00000000">
        <w:rPr>
          <w:rFonts w:ascii="Arial" w:cs="Arial" w:eastAsia="Arial" w:hAnsi="Arial"/>
          <w:i w:val="1"/>
          <w:color w:val="333333"/>
          <w:sz w:val="20"/>
          <w:szCs w:val="20"/>
          <w:vertAlign w:val="superscript"/>
          <w:rtl w:val="0"/>
        </w:rPr>
        <w:t xml:space="preserve">1</w:t>
      </w:r>
      <w:r w:rsidDel="00000000" w:rsidR="00000000" w:rsidRPr="00000000">
        <w:rPr>
          <w:rFonts w:ascii="Arial" w:cs="Arial" w:eastAsia="Arial" w:hAnsi="Arial"/>
          <w:i w:val="1"/>
          <w:color w:val="333333"/>
          <w:sz w:val="18"/>
          <w:szCs w:val="18"/>
          <w:rtl w:val="0"/>
        </w:rPr>
        <w:t xml:space="preserv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 w:lineRule="auto"/>
        <w:rPr>
          <w:rFonts w:ascii="Arial" w:cs="Arial" w:eastAsia="Arial" w:hAnsi="Arial"/>
          <w:i w:val="1"/>
          <w:color w:val="000000"/>
          <w:sz w:val="23"/>
          <w:szCs w:val="23"/>
        </w:rPr>
      </w:pPr>
      <w:r w:rsidDel="00000000" w:rsidR="00000000" w:rsidRPr="00000000">
        <w:rPr>
          <w:rtl w:val="0"/>
        </w:rPr>
      </w:r>
    </w:p>
    <w:p w:rsidR="00000000" w:rsidDel="00000000" w:rsidP="00000000" w:rsidRDefault="00000000" w:rsidRPr="00000000" w14:paraId="00000004">
      <w:pPr>
        <w:spacing w:line="276" w:lineRule="auto"/>
        <w:ind w:left="5581" w:right="114" w:firstLine="337.00000000000045"/>
        <w:rPr>
          <w:rFonts w:ascii="Arial" w:cs="Arial" w:eastAsia="Arial" w:hAnsi="Arial"/>
          <w:i w:val="1"/>
          <w:sz w:val="18"/>
          <w:szCs w:val="18"/>
        </w:rPr>
      </w:pPr>
      <w:bookmarkStart w:colFirst="0" w:colLast="0" w:name="_tezriri2b3tr" w:id="1"/>
      <w:bookmarkEnd w:id="1"/>
      <w:r w:rsidDel="00000000" w:rsidR="00000000" w:rsidRPr="00000000">
        <w:rPr>
          <w:rFonts w:ascii="Arial" w:cs="Arial" w:eastAsia="Arial" w:hAnsi="Arial"/>
          <w:i w:val="1"/>
          <w:sz w:val="18"/>
          <w:szCs w:val="18"/>
          <w:rtl w:val="0"/>
        </w:rPr>
        <w:t xml:space="preserve">“La iglesia dice el cuerpo es una culpa La ciencia dice el cuerpo es una máquina La publicidad dice el cuerpo es un negocio</w:t>
      </w:r>
    </w:p>
    <w:p w:rsidR="00000000" w:rsidDel="00000000" w:rsidP="00000000" w:rsidRDefault="00000000" w:rsidRPr="00000000" w14:paraId="00000005">
      <w:pPr>
        <w:spacing w:line="206" w:lineRule="auto"/>
        <w:ind w:left="6645" w:firstLine="0"/>
        <w:jc w:val="both"/>
        <w:rPr>
          <w:rFonts w:ascii="Arial" w:cs="Arial" w:eastAsia="Arial" w:hAnsi="Arial"/>
          <w:i w:val="1"/>
          <w:sz w:val="12"/>
          <w:szCs w:val="12"/>
        </w:rPr>
      </w:pPr>
      <w:r w:rsidDel="00000000" w:rsidR="00000000" w:rsidRPr="00000000">
        <w:rPr>
          <w:rFonts w:ascii="Arial" w:cs="Arial" w:eastAsia="Arial" w:hAnsi="Arial"/>
          <w:i w:val="1"/>
          <w:sz w:val="18"/>
          <w:szCs w:val="18"/>
          <w:rtl w:val="0"/>
        </w:rPr>
        <w:t xml:space="preserve">El cuerpo dice es una fies”</w:t>
      </w:r>
      <w:r w:rsidDel="00000000" w:rsidR="00000000" w:rsidRPr="00000000">
        <w:rPr>
          <w:rFonts w:ascii="Arial" w:cs="Arial" w:eastAsia="Arial" w:hAnsi="Arial"/>
          <w:i w:val="1"/>
          <w:sz w:val="20"/>
          <w:szCs w:val="20"/>
          <w:vertAlign w:val="superscript"/>
          <w:rtl w:val="0"/>
        </w:rPr>
        <w:t xml:space="preserve">2</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5" w:lineRule="auto"/>
        <w:rPr>
          <w:rFonts w:ascii="Arial" w:cs="Arial" w:eastAsia="Arial" w:hAnsi="Arial"/>
          <w:i w:val="1"/>
          <w:color w:val="000000"/>
          <w:sz w:val="23"/>
          <w:szCs w:val="23"/>
        </w:rPr>
      </w:pPr>
      <w:r w:rsidDel="00000000" w:rsidR="00000000" w:rsidRPr="00000000">
        <w:rPr>
          <w:rtl w:val="0"/>
        </w:rPr>
      </w:r>
    </w:p>
    <w:p w:rsidR="00000000" w:rsidDel="00000000" w:rsidP="00000000" w:rsidRDefault="00000000" w:rsidRPr="00000000" w14:paraId="00000007">
      <w:pPr>
        <w:pStyle w:val="Heading1"/>
        <w:spacing w:before="1" w:lineRule="auto"/>
        <w:ind w:firstLine="144"/>
        <w:rPr/>
      </w:pPr>
      <w:r w:rsidDel="00000000" w:rsidR="00000000" w:rsidRPr="00000000">
        <w:rPr>
          <w:u w:val="single"/>
          <w:rtl w:val="0"/>
        </w:rPr>
        <w:t xml:space="preserve">Fundamentación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42" w:line="276" w:lineRule="auto"/>
        <w:ind w:left="144" w:right="114" w:firstLine="0"/>
        <w:jc w:val="both"/>
        <w:rPr>
          <w:color w:val="000000"/>
        </w:rPr>
      </w:pPr>
      <w:r w:rsidDel="00000000" w:rsidR="00000000" w:rsidRPr="00000000">
        <w:rPr>
          <w:color w:val="000000"/>
          <w:rtl w:val="0"/>
        </w:rPr>
        <w:t xml:space="preserve">La formación docente para la educación sexual integral propone situarnos en un marco conceptual diferente a como tradicionalmente y aún hoy, desde el sentido común, se entiende o se ha concebido la cuestión de la sexualidad.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 w:line="276" w:lineRule="auto"/>
        <w:ind w:left="144" w:right="102" w:firstLine="0"/>
        <w:jc w:val="both"/>
        <w:rPr>
          <w:color w:val="000000"/>
        </w:rPr>
      </w:pPr>
      <w:r w:rsidDel="00000000" w:rsidR="00000000" w:rsidRPr="00000000">
        <w:rPr>
          <w:color w:val="000000"/>
          <w:rtl w:val="0"/>
        </w:rPr>
        <w:t xml:space="preserve">La Ley 26.150 plantea una concepción integral de la sexualidad que supera lo genital y que implica pensar en los modos en que social e individualmente vamos significando la relación con nuestro cuerpo y nuestra subjetividad, en vínculo con otros y el reconocimiento de los derechos de todos y todas.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144" w:right="107" w:firstLine="0"/>
        <w:jc w:val="both"/>
        <w:rPr>
          <w:color w:val="000000"/>
        </w:rPr>
      </w:pPr>
      <w:r w:rsidDel="00000000" w:rsidR="00000000" w:rsidRPr="00000000">
        <w:rPr>
          <w:color w:val="000000"/>
          <w:rtl w:val="0"/>
        </w:rPr>
        <w:t xml:space="preserve">El enfoque que se plantea, desde esta asignatura partirá entonces, de otorgar una especial significatividad a las representaciones construidas sociales e individualmente en torno al ser hombre o ser mujer, al cuerpo, al desarrollo del placer, los afectos, la relaciones con otros, el cuidado de sí mismo y reconocer que estas inciden en cómo vivimos y desplegamos nuestra sexualidad.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144" w:right="113" w:firstLine="0"/>
        <w:jc w:val="both"/>
        <w:rPr>
          <w:color w:val="000000"/>
        </w:rPr>
      </w:pPr>
      <w:r w:rsidDel="00000000" w:rsidR="00000000" w:rsidRPr="00000000">
        <w:rPr>
          <w:color w:val="000000"/>
          <w:rtl w:val="0"/>
        </w:rPr>
        <w:t xml:space="preserve">Dichos significados se relacionan estrechamente con las imágenes y representaciones que se otorga a la sexualidad en nuestros ámbitos más próximos, como nuestra familia y nuestra comunidad.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276" w:lineRule="auto"/>
        <w:ind w:left="144" w:right="110" w:firstLine="0"/>
        <w:jc w:val="both"/>
        <w:rPr>
          <w:color w:val="000000"/>
        </w:rPr>
      </w:pPr>
      <w:r w:rsidDel="00000000" w:rsidR="00000000" w:rsidRPr="00000000">
        <w:rPr>
          <w:color w:val="000000"/>
          <w:rtl w:val="0"/>
        </w:rPr>
        <w:t xml:space="preserve">Por esto, y teniendo en cuenta entonces que la sexualidad es una condición inherente a cada persona y que los modos de sentir y entender los diversos temas vinculados con la sexualidad dependen de cada cultura, de las experiencias familiares y sociales, es necesario entender que la educación en sexualidad debe partir del respeto por cada sujeto y por las diferencias.</w:t>
      </w:r>
    </w:p>
    <w:p w:rsidR="00000000" w:rsidDel="00000000" w:rsidP="00000000" w:rsidRDefault="00000000" w:rsidRPr="00000000" w14:paraId="0000000D">
      <w:pPr>
        <w:spacing w:line="276" w:lineRule="auto"/>
        <w:ind w:left="144" w:right="112" w:firstLine="59"/>
        <w:jc w:val="both"/>
        <w:rPr/>
      </w:pPr>
      <w:r w:rsidDel="00000000" w:rsidR="00000000" w:rsidRPr="00000000">
        <w:rPr>
          <w:rFonts w:ascii="Arial" w:cs="Arial" w:eastAsia="Arial" w:hAnsi="Arial"/>
          <w:i w:val="1"/>
          <w:rtl w:val="0"/>
        </w:rPr>
        <w:t xml:space="preserve">“Suele decirse que la educación sexual es una educación "para ser" más que "para hacer". Es un tipo de educación que se relaciona con la vida de las personas y con su forma de estar en el mundo y que se construye a partir del respeto hacia los estudiantes, en tanto se los concibe como seres humanos integrales, con necesidades diversas. La educación en sexualidad es, en definitiva, un tipo de formación que busca transmitir herramientas de cuidado antes que modelar comportamientos.</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0" w:lineRule="auto"/>
        <w:rPr>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wp:posOffset>
                </wp:positionH>
                <wp:positionV relativeFrom="paragraph">
                  <wp:posOffset>203200</wp:posOffset>
                </wp:positionV>
                <wp:extent cx="1828800" cy="8890"/>
                <wp:effectExtent b="0" l="0" r="0" t="0"/>
                <wp:wrapTopAndBottom distB="0" distT="0"/>
                <wp:docPr id="3" name=""/>
                <a:graphic>
                  <a:graphicData uri="http://schemas.microsoft.com/office/word/2010/wordprocessingShape">
                    <wps:wsp>
                      <wps:cNvSpPr/>
                      <wps:spPr>
                        <a:xfrm>
                          <a:off x="0" y="0"/>
                          <a:ext cx="1828800" cy="8890"/>
                        </a:xfrm>
                        <a:prstGeom prst="rect">
                          <a:avLst/>
                        </a:prstGeom>
                        <a:solidFill>
                          <a:srgbClr val="000000"/>
                        </a:solidFill>
                        <a:ln>
                          <a:noFill/>
                        </a:ln>
                      </wps:spPr>
                      <wps:txbx>
                        <w:txbxContent>
                          <w:p w:rsidR="00B776F4" w:rsidDel="00000000" w:rsidP="00000000" w:rsidRDefault="00B776F4" w:rsidRPr="00000000">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203200</wp:posOffset>
                </wp:positionV>
                <wp:extent cx="1828800" cy="8890"/>
                <wp:effectExtent b="0" l="0" r="0" t="0"/>
                <wp:wrapTopAndBottom distB="0" dist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828800" cy="8890"/>
                        </a:xfrm>
                        <a:prstGeom prst="rect"/>
                        <a:ln/>
                      </pic:spPr>
                    </pic:pic>
                  </a:graphicData>
                </a:graphic>
              </wp:anchor>
            </w:drawing>
          </mc:Fallback>
        </mc:AlternateContent>
      </w:r>
    </w:p>
    <w:p w:rsidR="00000000" w:rsidDel="00000000" w:rsidP="00000000" w:rsidRDefault="00000000" w:rsidRPr="00000000" w14:paraId="0000000F">
      <w:pPr>
        <w:spacing w:before="73" w:line="249" w:lineRule="auto"/>
        <w:ind w:left="144" w:right="1499" w:firstLine="0"/>
        <w:rPr>
          <w:sz w:val="16"/>
          <w:szCs w:val="16"/>
        </w:rPr>
      </w:pPr>
      <w:r w:rsidDel="00000000" w:rsidR="00000000" w:rsidRPr="00000000">
        <w:rPr>
          <w:rFonts w:ascii="Calibri" w:cs="Calibri" w:eastAsia="Calibri" w:hAnsi="Calibri"/>
          <w:sz w:val="16"/>
          <w:szCs w:val="16"/>
          <w:vertAlign w:val="superscript"/>
          <w:rtl w:val="0"/>
        </w:rPr>
        <w:t xml:space="preserve">1 </w:t>
      </w:r>
      <w:r w:rsidDel="00000000" w:rsidR="00000000" w:rsidRPr="00000000">
        <w:rPr>
          <w:color w:val="666666"/>
          <w:sz w:val="16"/>
          <w:szCs w:val="16"/>
          <w:rtl w:val="0"/>
        </w:rPr>
        <w:t xml:space="preserve">*Santa Teresa (fundadora de las carmelitas descalzas) Frase en Raymond Carver. La vida de mi padre. Cinco ensayos y una meditación.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9" w:lineRule="auto"/>
        <w:rPr>
          <w:color w:val="000000"/>
          <w:sz w:val="16"/>
          <w:szCs w:val="16"/>
        </w:rPr>
      </w:pPr>
      <w:r w:rsidDel="00000000" w:rsidR="00000000" w:rsidRPr="00000000">
        <w:rPr>
          <w:rtl w:val="0"/>
        </w:rPr>
      </w:r>
    </w:p>
    <w:p w:rsidR="00000000" w:rsidDel="00000000" w:rsidP="00000000" w:rsidRDefault="00000000" w:rsidRPr="00000000" w14:paraId="00000011">
      <w:pPr>
        <w:ind w:left="144" w:firstLine="0"/>
        <w:rPr>
          <w:rFonts w:ascii="Arial" w:cs="Arial" w:eastAsia="Arial" w:hAnsi="Arial"/>
          <w:i w:val="1"/>
          <w:sz w:val="16"/>
          <w:szCs w:val="16"/>
        </w:rPr>
      </w:pPr>
      <w:r w:rsidDel="00000000" w:rsidR="00000000" w:rsidRPr="00000000">
        <w:rPr>
          <w:rFonts w:ascii="Calibri" w:cs="Calibri" w:eastAsia="Calibri" w:hAnsi="Calibri"/>
          <w:sz w:val="16"/>
          <w:szCs w:val="16"/>
          <w:vertAlign w:val="superscript"/>
          <w:rtl w:val="0"/>
        </w:rPr>
        <w:t xml:space="preserve">2 </w:t>
      </w:r>
      <w:r w:rsidDel="00000000" w:rsidR="00000000" w:rsidRPr="00000000">
        <w:rPr>
          <w:rFonts w:ascii="Arial" w:cs="Arial" w:eastAsia="Arial" w:hAnsi="Arial"/>
          <w:i w:val="1"/>
          <w:sz w:val="16"/>
          <w:szCs w:val="16"/>
          <w:rtl w:val="0"/>
        </w:rPr>
        <w:t xml:space="preserve">Eduardo Galeano</w:t>
      </w:r>
    </w:p>
    <w:p w:rsidR="00000000" w:rsidDel="00000000" w:rsidP="00000000" w:rsidRDefault="00000000" w:rsidRPr="00000000" w14:paraId="00000012">
      <w:pPr>
        <w:spacing w:before="10" w:lineRule="auto"/>
        <w:ind w:left="144" w:firstLine="0"/>
        <w:rPr>
          <w:rFonts w:ascii="Arial" w:cs="Arial" w:eastAsia="Arial" w:hAnsi="Arial"/>
          <w:i w:val="1"/>
          <w:sz w:val="16"/>
          <w:szCs w:val="16"/>
        </w:rPr>
      </w:pPr>
      <w:r w:rsidDel="00000000" w:rsidR="00000000" w:rsidRPr="00000000">
        <w:rPr>
          <w:rFonts w:ascii="Calibri" w:cs="Calibri" w:eastAsia="Calibri" w:hAnsi="Calibri"/>
          <w:sz w:val="16"/>
          <w:szCs w:val="16"/>
          <w:vertAlign w:val="superscript"/>
          <w:rtl w:val="0"/>
        </w:rPr>
        <w:t xml:space="preserve">3 </w:t>
      </w:r>
      <w:r w:rsidDel="00000000" w:rsidR="00000000" w:rsidRPr="00000000">
        <w:rPr>
          <w:sz w:val="16"/>
          <w:szCs w:val="16"/>
          <w:rtl w:val="0"/>
        </w:rPr>
        <w:t xml:space="preserve">Faur, Eleonor </w:t>
      </w:r>
      <w:r w:rsidDel="00000000" w:rsidR="00000000" w:rsidRPr="00000000">
        <w:rPr>
          <w:rFonts w:ascii="Arial" w:cs="Arial" w:eastAsia="Arial" w:hAnsi="Arial"/>
          <w:i w:val="1"/>
          <w:sz w:val="16"/>
          <w:szCs w:val="16"/>
          <w:rtl w:val="0"/>
        </w:rPr>
        <w:t xml:space="preserve">“Derecho de niños, niñas y adolescentes, desafío para docentes</w:t>
      </w:r>
    </w:p>
    <w:p w:rsidR="00000000" w:rsidDel="00000000" w:rsidP="00000000" w:rsidRDefault="00000000" w:rsidRPr="00000000" w14:paraId="00000013">
      <w:pPr>
        <w:spacing w:before="1" w:lineRule="auto"/>
        <w:ind w:left="144" w:firstLine="0"/>
        <w:rPr>
          <w:rFonts w:ascii="Arial" w:cs="Arial" w:eastAsia="Arial" w:hAnsi="Arial"/>
          <w:b w:val="1"/>
          <w:sz w:val="16"/>
          <w:szCs w:val="16"/>
        </w:rPr>
        <w:sectPr>
          <w:headerReference r:id="rId7" w:type="default"/>
          <w:footerReference r:id="rId8" w:type="default"/>
          <w:pgSz w:h="15840" w:w="12240" w:orient="portrait"/>
          <w:pgMar w:bottom="1180" w:top="2820" w:left="1560" w:right="1580" w:header="700" w:footer="993"/>
          <w:pgNumType w:start="1"/>
        </w:sectPr>
      </w:pPr>
      <w:r w:rsidDel="00000000" w:rsidR="00000000" w:rsidRPr="00000000">
        <w:rPr>
          <w:rFonts w:ascii="Arial" w:cs="Arial" w:eastAsia="Arial" w:hAnsi="Arial"/>
          <w:b w:val="1"/>
          <w:sz w:val="16"/>
          <w:szCs w:val="16"/>
          <w:rtl w:val="0"/>
        </w:rPr>
        <w:t xml:space="preserve">La educación en sexualidad” Revista el monitor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94" w:line="276" w:lineRule="auto"/>
        <w:ind w:left="144" w:right="107" w:firstLine="0"/>
        <w:jc w:val="both"/>
        <w:rPr>
          <w:color w:val="000000"/>
        </w:rPr>
      </w:pPr>
      <w:r w:rsidDel="00000000" w:rsidR="00000000" w:rsidRPr="00000000">
        <w:rPr>
          <w:color w:val="000000"/>
          <w:rtl w:val="0"/>
        </w:rPr>
        <w:t xml:space="preserve">Es en el Nivel Inicial, donde se producen quizás los más significativos aprendizajes motrices, cognitivos, afectivos y sociales, gracias a la relación establecida entre lxs niñxs, sus familiares cercanos y sus docentes. Este será el primer espacio exogámico en donde el niño y la familia podrán confrontar y enriquecer sus enunciados de origen con los otros del mundo social.</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99" w:line="276" w:lineRule="auto"/>
        <w:ind w:left="144" w:right="105" w:firstLine="0"/>
        <w:jc w:val="both"/>
        <w:rPr>
          <w:color w:val="000000"/>
        </w:rPr>
      </w:pPr>
      <w:r w:rsidDel="00000000" w:rsidR="00000000" w:rsidRPr="00000000">
        <w:rPr>
          <w:color w:val="000000"/>
          <w:rtl w:val="0"/>
        </w:rPr>
        <w:t xml:space="preserve">Desde su función socializadora, propedéutica y educativa por excelencia, el Nivel Inicial encuentra en la Educación Sexual Integral el desafío y la oportunidad de enriquecer su trabajo, de redimensionar y resignificar sus intervenciones con lxs niñxs y familias “garantizando formas más democráticas de habitar el mundo, más humanas” y el cumplimiento de derechos a una educación de calidad de todos y todas.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00" w:line="276" w:lineRule="auto"/>
        <w:ind w:left="144" w:right="108" w:firstLine="0"/>
        <w:jc w:val="both"/>
        <w:rPr>
          <w:color w:val="000000"/>
        </w:rPr>
      </w:pPr>
      <w:r w:rsidDel="00000000" w:rsidR="00000000" w:rsidRPr="00000000">
        <w:rPr>
          <w:color w:val="000000"/>
          <w:rtl w:val="0"/>
        </w:rPr>
        <w:t xml:space="preserve">Entendemos que como docentes encargados de transmitir una educación a los niños y niñas , nuestro lugar es complejo y nos involucra de una manera particular, pues como sujetos de una cultura somos también herederos de tradiciones, de mitos y tabúes, que deberemos considerar y analizar ,para sostener el abordaje de los diversos temas.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44" w:firstLine="0"/>
        <w:rPr>
          <w:color w:val="000000"/>
        </w:rPr>
      </w:pPr>
      <w:r w:rsidDel="00000000" w:rsidR="00000000" w:rsidRPr="00000000">
        <w:rPr>
          <w:color w:val="000000"/>
          <w:rtl w:val="0"/>
        </w:rPr>
        <w:t xml:space="preserve">La ESI nos atraviesa en la vida cotidiana dentro de las escuelas, y se transmite en todas nuestras intervenciones. Enseñar es más que transmitir determinados conocimientos. Enseñar es esa difícil tarea de intervenir donde otro va a ir construyendo su subjetividad. Por todo lo planteado queremos destacar que fundamentalmente, la educación sexual integral se relaciona con un marco ético universal, que no sólo ofrece contenidos e información adecuada y metodologías para aproximarse al tratamiento de este tema, sino que se trata de la ética de los derechos humanos, fundada en el respeto, la libertad, la solidaridad, la igualdad y la no violencia.</w:t>
      </w:r>
    </w:p>
    <w:p w:rsidR="00000000" w:rsidDel="00000000" w:rsidP="00000000" w:rsidRDefault="00000000" w:rsidRPr="00000000" w14:paraId="00000019">
      <w:pPr>
        <w:spacing w:before="1" w:lineRule="auto"/>
        <w:ind w:left="144" w:firstLine="0"/>
        <w:rPr>
          <w:rFonts w:ascii="Arial" w:cs="Arial" w:eastAsia="Arial" w:hAnsi="Arial"/>
          <w:i w:val="1"/>
        </w:rPr>
      </w:pPr>
      <w:r w:rsidDel="00000000" w:rsidR="00000000" w:rsidRPr="00000000">
        <w:rPr>
          <w:rFonts w:ascii="Arial" w:cs="Arial" w:eastAsia="Arial" w:hAnsi="Arial"/>
          <w:i w:val="1"/>
          <w:u w:val="single"/>
          <w:rtl w:val="0"/>
        </w:rPr>
        <w:t xml:space="preserve">Marco curricular:</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9" w:lineRule="auto"/>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144" w:right="112" w:firstLine="0"/>
        <w:jc w:val="both"/>
        <w:rPr>
          <w:color w:val="000000"/>
        </w:rPr>
      </w:pPr>
      <w:r w:rsidDel="00000000" w:rsidR="00000000" w:rsidRPr="00000000">
        <w:rPr>
          <w:color w:val="000000"/>
          <w:rtl w:val="0"/>
        </w:rPr>
        <w:t xml:space="preserve">Este seminario se encuadra en lo propuesto por el nuevo diseño curricular para la formación docente de Nivel Inicial, aprobado por resolución Nº 529/09. El mismo, se construye en referencia a cuestiones básicas prescriptas desde el INFOD, a través de los Lineamientos Curriculares Nacionales para la Formación Docente Inicial y Continua (LCN Res. CFE N° 24/07) y en base a las demandas y necesidades planteadas por los Institutos de Formación Docente y sus actores institucionales.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01" w:line="276" w:lineRule="auto"/>
        <w:ind w:left="144" w:right="105" w:firstLine="0"/>
        <w:jc w:val="both"/>
        <w:rPr>
          <w:color w:val="000000"/>
        </w:rPr>
        <w:sectPr>
          <w:type w:val="nextPage"/>
          <w:pgSz w:h="15840" w:w="12240" w:orient="portrait"/>
          <w:pgMar w:bottom="1180" w:top="2820" w:left="1560" w:right="1580" w:header="700" w:footer="993"/>
        </w:sectPr>
      </w:pPr>
      <w:r w:rsidDel="00000000" w:rsidR="00000000" w:rsidRPr="00000000">
        <w:rPr>
          <w:color w:val="000000"/>
          <w:rtl w:val="0"/>
        </w:rPr>
        <w:t xml:space="preserve">De acuerdo a esto, esta unidad curricular, inscripta en el marco de la Formación Específica, en el Sub-campo de los Saberes a enseñar y las problemáticas del nivel, se plantea, como un espacio y tiempo académico específico e independiente para el estudio en profundidad de temáticas y problemas relevantes para la formación profesional. Sin embargo, su localización en el cuarto año del plan de estudios, permite proyectar una articulación con el Trayecto de Prácticas IV y las disciplinas que componen el ateneo.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 w:lineRule="auto"/>
        <w:rPr>
          <w:color w:val="000000"/>
          <w:sz w:val="14"/>
          <w:szCs w:val="14"/>
        </w:rPr>
      </w:pPr>
      <w:r w:rsidDel="00000000" w:rsidR="00000000" w:rsidRPr="00000000">
        <w:rPr>
          <w:rtl w:val="0"/>
        </w:rPr>
      </w:r>
    </w:p>
    <w:p w:rsidR="00000000" w:rsidDel="00000000" w:rsidP="00000000" w:rsidRDefault="00000000" w:rsidRPr="00000000" w14:paraId="0000001E">
      <w:pPr>
        <w:spacing w:before="94" w:lineRule="auto"/>
        <w:ind w:left="144" w:firstLine="0"/>
        <w:jc w:val="both"/>
        <w:rPr>
          <w:rFonts w:ascii="Arial" w:cs="Arial" w:eastAsia="Arial" w:hAnsi="Arial"/>
          <w:i w:val="1"/>
        </w:rPr>
      </w:pPr>
      <w:r w:rsidDel="00000000" w:rsidR="00000000" w:rsidRPr="00000000">
        <w:rPr>
          <w:rFonts w:ascii="Arial" w:cs="Arial" w:eastAsia="Arial" w:hAnsi="Arial"/>
          <w:i w:val="1"/>
          <w:u w:val="single"/>
          <w:rtl w:val="0"/>
        </w:rPr>
        <w:t xml:space="preserve">Marco didáctico: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7" w:lineRule="auto"/>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144" w:right="112" w:firstLine="0"/>
        <w:jc w:val="both"/>
        <w:rPr>
          <w:color w:val="000000"/>
        </w:rPr>
      </w:pPr>
      <w:r w:rsidDel="00000000" w:rsidR="00000000" w:rsidRPr="00000000">
        <w:rPr>
          <w:color w:val="000000"/>
          <w:rtl w:val="0"/>
        </w:rPr>
        <w:t xml:space="preserve">El recorrido propuesto delinea el abordaje de problemáticas significativas y pertinentes para la práctica docente de nivel inicial, planteándose no solo como instancia de profundización y abordaje de temas relevantes a la formación, sino también como dispositivo de reflexión.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00" w:line="276" w:lineRule="auto"/>
        <w:ind w:left="144" w:right="108" w:firstLine="0"/>
        <w:jc w:val="both"/>
        <w:rPr>
          <w:color w:val="000000"/>
        </w:rPr>
      </w:pPr>
      <w:r w:rsidDel="00000000" w:rsidR="00000000" w:rsidRPr="00000000">
        <w:rPr>
          <w:color w:val="000000"/>
          <w:rtl w:val="0"/>
        </w:rPr>
        <w:t xml:space="preserve">Particularmente, en este espacio curricular, formulado desde el formato SEMINARIO, se hace necesario introducir propuestas que privilegien el tratamiento de temáticas referidas a la sexualidad y educación, a través de una dinámica que permita construir saberes validados, revisar supuestos y mitos, poner en palabras temas silenciados.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02" w:line="276" w:lineRule="auto"/>
        <w:ind w:left="144" w:right="110" w:firstLine="0"/>
        <w:jc w:val="both"/>
        <w:rPr>
          <w:color w:val="000000"/>
        </w:rPr>
      </w:pPr>
      <w:r w:rsidDel="00000000" w:rsidR="00000000" w:rsidRPr="00000000">
        <w:rPr>
          <w:color w:val="000000"/>
          <w:rtl w:val="0"/>
        </w:rPr>
        <w:t xml:space="preserve">Entendemos que una de las puertas de entrada al abordaje de la ESI, es la formación del docente, con sus concepciones personales, históricas, familiares y profesionales referidas a la sexualidad y a su función en la transmisión de estos temas.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00" w:line="276" w:lineRule="auto"/>
        <w:ind w:left="144" w:right="111" w:firstLine="0"/>
        <w:jc w:val="both"/>
        <w:rPr>
          <w:color w:val="000000"/>
        </w:rPr>
      </w:pPr>
      <w:r w:rsidDel="00000000" w:rsidR="00000000" w:rsidRPr="00000000">
        <w:rPr>
          <w:color w:val="000000"/>
          <w:rtl w:val="0"/>
        </w:rPr>
        <w:t xml:space="preserve">Por ello, este espacio curricular, plantea un recorrido por los temas expuestos para su estudio y profundización, componiendo en su abordaje instancias de intercambios y debates, dinámicas grupales lúdico - vivenciales, que permitan resignificar experiencias, movilizar concepciones personales, promover intercambios, en un trabajo reflexivo que se oriente a la producción de un conocimiento compartido.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99" w:line="276" w:lineRule="auto"/>
        <w:ind w:left="144" w:right="113" w:firstLine="0"/>
        <w:jc w:val="both"/>
        <w:rPr>
          <w:color w:val="000000"/>
        </w:rPr>
      </w:pPr>
      <w:r w:rsidDel="00000000" w:rsidR="00000000" w:rsidRPr="00000000">
        <w:rPr>
          <w:color w:val="000000"/>
          <w:rtl w:val="0"/>
        </w:rPr>
        <w:t xml:space="preserve">Sera primordial, en este sentido, la construcción de un clima de confianza y respeto en el trabajo del grupo y con el docente, en relación al resguardo y privacidad con el que tienen que ser tratados los aportes dé cada alumno/a o del material presentado para la enseñanza.</w:t>
      </w:r>
    </w:p>
    <w:p w:rsidR="00000000" w:rsidDel="00000000" w:rsidP="00000000" w:rsidRDefault="00000000" w:rsidRPr="00000000" w14:paraId="00000025">
      <w:pPr>
        <w:pStyle w:val="Heading1"/>
        <w:spacing w:before="195" w:lineRule="auto"/>
        <w:ind w:firstLine="144"/>
        <w:jc w:val="both"/>
        <w:rPr/>
      </w:pPr>
      <w:r w:rsidDel="00000000" w:rsidR="00000000" w:rsidRPr="00000000">
        <w:rPr>
          <w:u w:val="single"/>
          <w:rtl w:val="0"/>
        </w:rPr>
        <w:t xml:space="preserve">Propósitos formativos:</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4"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tabs>
          <w:tab w:val="left" w:leader="none" w:pos="853"/>
        </w:tabs>
        <w:spacing w:line="271" w:lineRule="auto"/>
        <w:ind w:left="144" w:right="116" w:firstLine="280"/>
        <w:jc w:val="both"/>
        <w:rPr/>
      </w:pPr>
      <w:r w:rsidDel="00000000" w:rsidR="00000000" w:rsidRPr="00000000">
        <w:rPr>
          <w:color w:val="000000"/>
          <w:rtl w:val="0"/>
        </w:rPr>
        <w:t xml:space="preserve">Ofrecer el espacio para componer “entre varios” un trabajo reflexivo, en torno a saberes, representaciones e incertidumbres sobre la sexualidad y su transmisión en el Nivel Inicial.</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tabs>
          <w:tab w:val="left" w:leader="none" w:pos="853"/>
        </w:tabs>
        <w:spacing w:before="5" w:line="271" w:lineRule="auto"/>
        <w:ind w:left="144" w:right="110" w:firstLine="280"/>
        <w:jc w:val="both"/>
        <w:rPr/>
      </w:pPr>
      <w:r w:rsidDel="00000000" w:rsidR="00000000" w:rsidRPr="00000000">
        <w:rPr>
          <w:color w:val="000000"/>
          <w:rtl w:val="0"/>
        </w:rPr>
        <w:t xml:space="preserve">Promover el aporte e indagación de conocimientos y experiencias validadas y actualizadas, que introduzcan una visión integral y contextualizada acerca de estas temáticas.</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tabs>
          <w:tab w:val="left" w:leader="none" w:pos="853"/>
        </w:tabs>
        <w:spacing w:before="5" w:line="271" w:lineRule="auto"/>
        <w:ind w:left="144" w:right="114" w:firstLine="280"/>
        <w:jc w:val="both"/>
        <w:rPr/>
      </w:pPr>
      <w:r w:rsidDel="00000000" w:rsidR="00000000" w:rsidRPr="00000000">
        <w:rPr>
          <w:color w:val="000000"/>
          <w:rtl w:val="0"/>
        </w:rPr>
        <w:t xml:space="preserve">Fortalecer el lugar y responsabilidad que tienen los docentes, en su carácter de adultos frente al desarrollo afectivo y sexual de los niños y niñas y el amparo de sus derechos.</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tabs>
          <w:tab w:val="left" w:leader="none" w:pos="853"/>
        </w:tabs>
        <w:spacing w:before="4" w:line="268" w:lineRule="auto"/>
        <w:ind w:left="144" w:right="114" w:firstLine="280"/>
        <w:jc w:val="both"/>
        <w:rPr/>
        <w:sectPr>
          <w:type w:val="nextPage"/>
          <w:pgSz w:h="15840" w:w="12240" w:orient="portrait"/>
          <w:pgMar w:bottom="1180" w:top="2820" w:left="1560" w:right="1580" w:header="700" w:footer="993"/>
        </w:sectPr>
      </w:pPr>
      <w:r w:rsidDel="00000000" w:rsidR="00000000" w:rsidRPr="00000000">
        <w:rPr>
          <w:color w:val="000000"/>
          <w:rtl w:val="0"/>
        </w:rPr>
        <w:t xml:space="preserve">Ofrecer recursos para conocer y reflexionar sobre estudios, investigaciones, documentos y marcos legales que encuadran y orientan el abordaje de la ESI.</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8" w:lineRule="auto"/>
        <w:rPr>
          <w:color w:val="000000"/>
          <w:sz w:val="13"/>
          <w:szCs w:val="13"/>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tabs>
          <w:tab w:val="left" w:leader="none" w:pos="853"/>
        </w:tabs>
        <w:spacing w:before="101" w:line="271" w:lineRule="auto"/>
        <w:ind w:left="144" w:right="113" w:firstLine="280"/>
        <w:jc w:val="both"/>
        <w:rPr/>
      </w:pPr>
      <w:r w:rsidDel="00000000" w:rsidR="00000000" w:rsidRPr="00000000">
        <w:rPr>
          <w:color w:val="000000"/>
          <w:rtl w:val="0"/>
        </w:rPr>
        <w:t xml:space="preserve">Promover una educación en valores y actitudes basados en el respeto y cuidado de sí mismo y del otro, el reconocimiento por la diversidad y el rechazo a todas las formas de discriminación.</w:t>
      </w:r>
      <w:r w:rsidDel="00000000" w:rsidR="00000000" w:rsidRPr="00000000">
        <w:rPr>
          <w:rtl w:val="0"/>
        </w:rPr>
      </w:r>
    </w:p>
    <w:p w:rsidR="00000000" w:rsidDel="00000000" w:rsidP="00000000" w:rsidRDefault="00000000" w:rsidRPr="00000000" w14:paraId="0000002D">
      <w:pPr>
        <w:pStyle w:val="Heading1"/>
        <w:spacing w:line="251" w:lineRule="auto"/>
        <w:ind w:firstLine="144"/>
        <w:rPr/>
      </w:pPr>
      <w:r w:rsidDel="00000000" w:rsidR="00000000" w:rsidRPr="00000000">
        <w:rPr>
          <w:u w:val="single"/>
          <w:rtl w:val="0"/>
        </w:rPr>
        <w:t xml:space="preserve">Desarrollo de contenidos: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F">
      <w:pPr>
        <w:spacing w:before="1" w:lineRule="auto"/>
        <w:ind w:left="144" w:firstLine="0"/>
        <w:rPr>
          <w:rFonts w:ascii="Arial" w:cs="Arial" w:eastAsia="Arial" w:hAnsi="Arial"/>
          <w:b w:val="1"/>
        </w:rPr>
      </w:pPr>
      <w:r w:rsidDel="00000000" w:rsidR="00000000" w:rsidRPr="00000000">
        <w:rPr>
          <w:rFonts w:ascii="Arial" w:cs="Arial" w:eastAsia="Arial" w:hAnsi="Arial"/>
          <w:b w:val="1"/>
          <w:u w:val="single"/>
          <w:rtl w:val="0"/>
        </w:rPr>
        <w:t xml:space="preserve">Módulo 1</w:t>
      </w:r>
      <w:r w:rsidDel="00000000" w:rsidR="00000000" w:rsidRPr="00000000">
        <w:rPr>
          <w:rFonts w:ascii="Arial" w:cs="Arial" w:eastAsia="Arial" w:hAnsi="Arial"/>
          <w:b w:val="1"/>
          <w:rtl w:val="0"/>
        </w:rPr>
        <w:t xml:space="preserve">. Marco Introductorio para pensar la Sexualidad y la Educación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tabs>
          <w:tab w:val="left" w:leader="none" w:pos="853"/>
        </w:tabs>
        <w:spacing w:line="266" w:lineRule="auto"/>
        <w:ind w:left="144" w:right="117" w:firstLine="280"/>
        <w:jc w:val="both"/>
        <w:rPr/>
      </w:pPr>
      <w:r w:rsidDel="00000000" w:rsidR="00000000" w:rsidRPr="00000000">
        <w:rPr>
          <w:color w:val="000000"/>
          <w:rtl w:val="0"/>
        </w:rPr>
        <w:t xml:space="preserve">Educación y sexualidad. La enseñanza de la sexualidad en la escuela: tradiciones, silenciamientos, tensiones y desafíos. Entre lo heredado y lo transmitido: la creación.</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leader="none" w:pos="853"/>
        </w:tabs>
        <w:spacing w:before="11" w:line="273" w:lineRule="auto"/>
        <w:ind w:left="144" w:right="105" w:firstLine="280"/>
        <w:jc w:val="both"/>
        <w:rPr/>
      </w:pPr>
      <w:r w:rsidDel="00000000" w:rsidR="00000000" w:rsidRPr="00000000">
        <w:rPr>
          <w:color w:val="000000"/>
          <w:rtl w:val="0"/>
        </w:rPr>
        <w:t xml:space="preserve">La sexualidad como concepto complejo e integral. Su injerencia en la construcción de subjetividad. La sexualidad como construcción socio-histórico y cultural. Su complejizacion a partir de nuevas perspectivas centradas en la concepción de salud integral, género y la perspectiva de los derechos humanos.</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tabs>
          <w:tab w:val="left" w:leader="none" w:pos="853"/>
        </w:tabs>
        <w:spacing w:before="8" w:line="271" w:lineRule="auto"/>
        <w:ind w:left="144" w:right="114" w:firstLine="280"/>
        <w:jc w:val="both"/>
        <w:rPr/>
      </w:pPr>
      <w:r w:rsidDel="00000000" w:rsidR="00000000" w:rsidRPr="00000000">
        <w:rPr>
          <w:color w:val="000000"/>
          <w:rtl w:val="0"/>
        </w:rPr>
        <w:t xml:space="preserve">La perspectiva de género y su capacidad explicativa de los procesos sociales. Estereotipos y mitos. Diversidades sexuales. La reproducción de las desigualdades en la crianza y en la Educación Inicial. Cuentos, canciones, juegos y juguetes no sexistas.</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left" w:leader="none" w:pos="853"/>
        </w:tabs>
        <w:spacing w:line="268" w:lineRule="auto"/>
        <w:ind w:left="144" w:right="115" w:firstLine="280"/>
        <w:jc w:val="both"/>
        <w:rPr/>
      </w:pPr>
      <w:r w:rsidDel="00000000" w:rsidR="00000000" w:rsidRPr="00000000">
        <w:rPr>
          <w:color w:val="000000"/>
          <w:rtl w:val="0"/>
        </w:rPr>
        <w:t xml:space="preserve">Los niños y las niñas como sujetos de derecho. Marco legal de referencia para la educación sexual.</w:t>
      </w:r>
      <w:r w:rsidDel="00000000" w:rsidR="00000000" w:rsidRPr="00000000">
        <w:rPr>
          <w:rtl w:val="0"/>
        </w:rPr>
      </w:r>
    </w:p>
    <w:p w:rsidR="00000000" w:rsidDel="00000000" w:rsidP="00000000" w:rsidRDefault="00000000" w:rsidRPr="00000000" w14:paraId="00000035">
      <w:pPr>
        <w:pStyle w:val="Heading1"/>
        <w:spacing w:before="3" w:line="276" w:lineRule="auto"/>
        <w:ind w:firstLine="144"/>
        <w:rPr/>
      </w:pPr>
      <w:r w:rsidDel="00000000" w:rsidR="00000000" w:rsidRPr="00000000">
        <w:rPr>
          <w:u w:val="single"/>
          <w:rtl w:val="0"/>
        </w:rPr>
        <w:t xml:space="preserve">Módulo 2:</w:t>
      </w:r>
      <w:r w:rsidDel="00000000" w:rsidR="00000000" w:rsidRPr="00000000">
        <w:rPr>
          <w:rtl w:val="0"/>
        </w:rPr>
        <w:t xml:space="preserve"> Construir el acompañamiento del desarrollo afectivo y sexual de niños y niñas.</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left" w:leader="none" w:pos="853"/>
        </w:tabs>
        <w:spacing w:before="4" w:line="271" w:lineRule="auto"/>
        <w:ind w:left="144" w:right="115" w:firstLine="280"/>
        <w:jc w:val="both"/>
        <w:rPr/>
      </w:pPr>
      <w:r w:rsidDel="00000000" w:rsidR="00000000" w:rsidRPr="00000000">
        <w:rPr>
          <w:color w:val="000000"/>
          <w:rtl w:val="0"/>
        </w:rPr>
        <w:t xml:space="preserve">La sexualidad en la infancia. Aspectos biológicos, psicológicos y vinculares. La función y posición de los adultos. Sexualidad y pautación. Los nuevos escenarios de la sexualidad y la construcción de las legalidades.</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left" w:leader="none" w:pos="853"/>
        </w:tabs>
        <w:spacing w:before="4" w:lineRule="auto"/>
        <w:ind w:left="852" w:hanging="428"/>
        <w:jc w:val="both"/>
        <w:rPr/>
      </w:pPr>
      <w:r w:rsidDel="00000000" w:rsidR="00000000" w:rsidRPr="00000000">
        <w:rPr>
          <w:color w:val="000000"/>
          <w:rtl w:val="0"/>
        </w:rPr>
        <w:t xml:space="preserve">Diversas formas de vivir en familia.</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left" w:leader="none" w:pos="849"/>
          <w:tab w:val="left" w:leader="none" w:pos="850"/>
        </w:tabs>
        <w:spacing w:before="35" w:line="268" w:lineRule="auto"/>
        <w:ind w:left="144" w:right="138" w:firstLine="280"/>
        <w:rPr>
          <w:b w:val="1"/>
          <w:color w:val="000000"/>
        </w:rPr>
      </w:pPr>
      <w:r w:rsidDel="00000000" w:rsidR="00000000" w:rsidRPr="00000000">
        <w:rPr>
          <w:color w:val="000000"/>
          <w:rtl w:val="0"/>
        </w:rPr>
        <w:t xml:space="preserve">Maltrato y violencia en la infancia. Juegos sexuales infantiles, acoso y abuso sexual. La promoción de vínculos sanos y la prevención de la violencia visible e invisible. </w:t>
      </w:r>
      <w:r w:rsidDel="00000000" w:rsidR="00000000" w:rsidRPr="00000000">
        <w:rPr>
          <w:rFonts w:ascii="Arial" w:cs="Arial" w:eastAsia="Arial" w:hAnsi="Arial"/>
          <w:b w:val="1"/>
          <w:color w:val="000000"/>
          <w:u w:val="single"/>
          <w:rtl w:val="0"/>
        </w:rPr>
        <w:t xml:space="preserve">Módulo 3</w:t>
      </w:r>
      <w:r w:rsidDel="00000000" w:rsidR="00000000" w:rsidRPr="00000000">
        <w:rPr>
          <w:rFonts w:ascii="Arial" w:cs="Arial" w:eastAsia="Arial" w:hAnsi="Arial"/>
          <w:i w:val="1"/>
          <w:color w:val="000000"/>
          <w:u w:val="single"/>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b w:val="1"/>
          <w:color w:val="000000"/>
          <w:rtl w:val="0"/>
        </w:rPr>
        <w:t xml:space="preserve">La Esi en el nivel inicial</w:t>
      </w: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tabs>
          <w:tab w:val="left" w:leader="none" w:pos="853"/>
        </w:tabs>
        <w:spacing w:before="13" w:line="276" w:lineRule="auto"/>
        <w:ind w:left="144" w:right="107" w:firstLine="280"/>
        <w:jc w:val="both"/>
        <w:rPr/>
      </w:pPr>
      <w:r w:rsidDel="00000000" w:rsidR="00000000" w:rsidRPr="00000000">
        <w:rPr>
          <w:color w:val="000000"/>
          <w:rtl w:val="0"/>
        </w:rPr>
        <w:t xml:space="preserve">La ley 26150 Docentes al amparo de un derecho. La ESI en el Jardín como contenido transversal. Reflexiones y propuestas para enriquecer la intervención pedagógica en el jardín. Tensiones y posibles modalidades de trabajo. Construcción de propuestas .Objetivos   formativos y contenidos para el nivel inicial. </w:t>
      </w:r>
      <w:r w:rsidDel="00000000" w:rsidR="00000000" w:rsidRPr="00000000">
        <w:rPr>
          <w:rFonts w:ascii="Arial" w:cs="Arial" w:eastAsia="Arial" w:hAnsi="Arial"/>
          <w:b w:val="1"/>
          <w:color w:val="000000"/>
          <w:rtl w:val="0"/>
        </w:rPr>
        <w:t xml:space="preserve">R</w:t>
      </w:r>
      <w:r w:rsidDel="00000000" w:rsidR="00000000" w:rsidRPr="00000000">
        <w:rPr>
          <w:color w:val="000000"/>
          <w:rtl w:val="0"/>
        </w:rPr>
        <w:t xml:space="preserve">ecorrido por los cuatro ejes propuestos por los Lineamientos Curriculares.</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left" w:leader="none" w:pos="865"/>
        </w:tabs>
        <w:spacing w:line="258" w:lineRule="auto"/>
        <w:ind w:left="864" w:hanging="364"/>
        <w:jc w:val="both"/>
        <w:rPr/>
      </w:pPr>
      <w:r w:rsidDel="00000000" w:rsidR="00000000" w:rsidRPr="00000000">
        <w:rPr>
          <w:color w:val="000000"/>
          <w:rtl w:val="0"/>
        </w:rPr>
        <w:t xml:space="preserve">El trabajo con las familias.</w:t>
      </w: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leader="none" w:pos="862"/>
        </w:tabs>
        <w:spacing w:before="42" w:line="266" w:lineRule="auto"/>
        <w:ind w:left="861" w:right="122" w:hanging="360"/>
        <w:jc w:val="both"/>
        <w:rPr/>
      </w:pPr>
      <w:r w:rsidDel="00000000" w:rsidR="00000000" w:rsidRPr="00000000">
        <w:rPr>
          <w:color w:val="000000"/>
          <w:rtl w:val="0"/>
        </w:rPr>
        <w:t xml:space="preserve">La escuela como terceridad. Relación pedagógica y transmisión, el cuidado y la confianza.</w:t>
      </w: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left" w:leader="none" w:pos="853"/>
        </w:tabs>
        <w:spacing w:before="11" w:lineRule="auto"/>
        <w:ind w:left="852" w:hanging="428"/>
        <w:jc w:val="both"/>
        <w:rPr/>
      </w:pPr>
      <w:r w:rsidDel="00000000" w:rsidR="00000000" w:rsidRPr="00000000">
        <w:rPr>
          <w:color w:val="000000"/>
          <w:rtl w:val="0"/>
        </w:rPr>
        <w:t xml:space="preserve">Episodios que irrumpen en la vida escolar. Herramientas para la intervención.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0" w:lineRule="auto"/>
        <w:rPr>
          <w:color w:val="000000"/>
          <w:sz w:val="27"/>
          <w:szCs w:val="27"/>
        </w:rPr>
      </w:pPr>
      <w:r w:rsidDel="00000000" w:rsidR="00000000" w:rsidRPr="00000000">
        <w:rPr>
          <w:rtl w:val="0"/>
        </w:rPr>
      </w:r>
    </w:p>
    <w:p w:rsidR="00000000" w:rsidDel="00000000" w:rsidP="00000000" w:rsidRDefault="00000000" w:rsidRPr="00000000" w14:paraId="0000003E">
      <w:pPr>
        <w:pStyle w:val="Heading1"/>
        <w:ind w:firstLine="144"/>
        <w:rPr/>
        <w:sectPr>
          <w:type w:val="nextPage"/>
          <w:pgSz w:h="15840" w:w="12240" w:orient="portrait"/>
          <w:pgMar w:bottom="1180" w:top="2820" w:left="1560" w:right="1580" w:header="700" w:footer="993"/>
        </w:sectPr>
      </w:pPr>
      <w:r w:rsidDel="00000000" w:rsidR="00000000" w:rsidRPr="00000000">
        <w:rPr>
          <w:u w:val="single"/>
          <w:rtl w:val="0"/>
        </w:rPr>
        <w:t xml:space="preserve">PROPUESTA METODOLÓGICA</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 w:lineRule="auto"/>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94" w:line="276" w:lineRule="auto"/>
        <w:ind w:left="144" w:right="107" w:firstLine="0"/>
        <w:jc w:val="both"/>
        <w:rPr>
          <w:color w:val="000000"/>
        </w:rPr>
      </w:pPr>
      <w:r w:rsidDel="00000000" w:rsidR="00000000" w:rsidRPr="00000000">
        <w:rPr>
          <w:color w:val="000000"/>
          <w:rtl w:val="0"/>
        </w:rPr>
        <w:t xml:space="preserve">La modalidad de trabajo es la del seminario/taller, para lo que se dispondrá una modalidad    teórico-práctica, cuyo eje será la producción grupal. Este espacio promueve la profundización de contenidos curriculares, a través de la indagación en torno a ciertos temas problemáticas y modalidades de abordaje.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00" w:line="276" w:lineRule="auto"/>
        <w:ind w:left="144" w:right="109" w:firstLine="0"/>
        <w:jc w:val="both"/>
        <w:rPr>
          <w:color w:val="000000"/>
        </w:rPr>
      </w:pPr>
      <w:r w:rsidDel="00000000" w:rsidR="00000000" w:rsidRPr="00000000">
        <w:rPr>
          <w:color w:val="000000"/>
          <w:rtl w:val="0"/>
        </w:rPr>
        <w:t xml:space="preserve">Si bien, se propone un recorrido bibliográfico, se pretende favorecer la consulta de información abundante y diversa, el trabajo reflexivo, la discusión, la participación en procesos cooperativos de construcción de conocimiento. Para ello, se ofrecerán diferentes apoyos, en función de la realidad de cada grupo, para lograr mejores ajustes de la enseñanza. Se propiciará la comprensión de los contenidos académicos, la negociación de significados entre alumnos y el docente, la enseñanza y aprendizaje como una construcción cooperativa, la colaboración y el dialogo reflexivo entre pares, el aprendizaje a través de múltiples lenguajes, la indagación de diversas fuentes, el estudio de casos y la indagación sobre temáticas específicas, el análisis de episodios extraídos de la cotidianeidad escolar suscitando la articulación entre los contenidos trabajados y su implicación profesional</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98" w:line="276" w:lineRule="auto"/>
        <w:ind w:left="144" w:right="107" w:firstLine="0"/>
        <w:jc w:val="both"/>
        <w:rPr>
          <w:color w:val="000000"/>
        </w:rPr>
      </w:pPr>
      <w:r w:rsidDel="00000000" w:rsidR="00000000" w:rsidRPr="00000000">
        <w:rPr>
          <w:color w:val="000000"/>
          <w:rtl w:val="0"/>
        </w:rPr>
        <w:t xml:space="preserve">En forma complementaria, con lo expuesto, se propone la articulación con otros espacios curriculares para la realización de actividades compartidas, con comisiones de otros profesorados, sobre todo con los que aún no cuentan con este espacio de formación en su curricula. Del mismo modo, se plantea la posibilidad de habilitar espacios de trabajo colaborativo, interdisciplinario y en redes con instituciones y organizaciones comunitarias para la organización de charlas y otras actividades de intercambio.</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02" w:line="276" w:lineRule="auto"/>
        <w:ind w:left="144" w:right="116" w:firstLine="0"/>
        <w:jc w:val="both"/>
        <w:rPr>
          <w:color w:val="000000"/>
        </w:rPr>
      </w:pPr>
      <w:r w:rsidDel="00000000" w:rsidR="00000000" w:rsidRPr="00000000">
        <w:rPr>
          <w:color w:val="000000"/>
          <w:rtl w:val="0"/>
        </w:rPr>
        <w:t xml:space="preserve">Durante el desarrollo del seminario, se propondrán la realización de 2 trabajos grupales y un trabajo final, para los que se dispondrán guías de trabajo y posteriores instancias de socialización de lo producido en forma grupal.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95" w:line="280" w:lineRule="auto"/>
        <w:ind w:left="144" w:right="113" w:firstLine="0"/>
        <w:jc w:val="both"/>
        <w:rPr>
          <w:color w:val="000000"/>
        </w:rPr>
      </w:pPr>
      <w:r w:rsidDel="00000000" w:rsidR="00000000" w:rsidRPr="00000000">
        <w:rPr>
          <w:rFonts w:ascii="Arial" w:cs="Arial" w:eastAsia="Arial" w:hAnsi="Arial"/>
          <w:b w:val="1"/>
          <w:color w:val="000000"/>
          <w:u w:val="single"/>
          <w:rtl w:val="0"/>
        </w:rPr>
        <w:t xml:space="preserve">EVALUACIÓN:</w:t>
      </w:r>
      <w:r w:rsidDel="00000000" w:rsidR="00000000" w:rsidRPr="00000000">
        <w:rPr>
          <w:rFonts w:ascii="Arial" w:cs="Arial" w:eastAsia="Arial" w:hAnsi="Arial"/>
          <w:b w:val="1"/>
          <w:color w:val="000000"/>
          <w:rtl w:val="0"/>
        </w:rPr>
        <w:t xml:space="preserve"> </w:t>
      </w:r>
      <w:r w:rsidDel="00000000" w:rsidR="00000000" w:rsidRPr="00000000">
        <w:rPr>
          <w:color w:val="000000"/>
          <w:rtl w:val="0"/>
        </w:rPr>
        <w:t xml:space="preserve">Será de carácter inicial, procesual, formativa y sumativa, concebida no solo como evaluación de los aprendizajes, sino para promover mejores ajustes a la enseñanza. (Jackson, 2001)</w:t>
      </w:r>
    </w:p>
    <w:p w:rsidR="00000000" w:rsidDel="00000000" w:rsidP="00000000" w:rsidRDefault="00000000" w:rsidRPr="00000000" w14:paraId="00000045">
      <w:pPr>
        <w:pStyle w:val="Heading1"/>
        <w:spacing w:before="185" w:lineRule="auto"/>
        <w:ind w:firstLine="144"/>
        <w:jc w:val="both"/>
        <w:rPr/>
      </w:pPr>
      <w:r w:rsidDel="00000000" w:rsidR="00000000" w:rsidRPr="00000000">
        <w:rPr>
          <w:u w:val="single"/>
          <w:rtl w:val="0"/>
        </w:rPr>
        <w:t xml:space="preserve">Criterios de evaluación</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0" w:lineRule="auto"/>
        <w:rPr>
          <w:rFonts w:ascii="Arial" w:cs="Arial" w:eastAsia="Arial" w:hAnsi="Arial"/>
          <w:b w:val="1"/>
          <w:color w:val="000000"/>
          <w:sz w:val="12"/>
          <w:szCs w:val="12"/>
        </w:rPr>
      </w:pP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leader="none" w:pos="849"/>
          <w:tab w:val="left" w:leader="none" w:pos="850"/>
        </w:tabs>
        <w:spacing w:before="94" w:line="278.00000000000006" w:lineRule="auto"/>
        <w:ind w:left="144" w:right="136" w:firstLine="280"/>
        <w:rPr/>
      </w:pPr>
      <w:r w:rsidDel="00000000" w:rsidR="00000000" w:rsidRPr="00000000">
        <w:rPr>
          <w:color w:val="000000"/>
          <w:rtl w:val="0"/>
        </w:rPr>
        <w:t xml:space="preserve">lectura de la bibliografía obligatoria; Análisis desagregado de los conceptos y planteos teóricos contenidos en los textos de lectura obligatoria.</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tabs>
          <w:tab w:val="left" w:leader="none" w:pos="849"/>
          <w:tab w:val="left" w:leader="none" w:pos="850"/>
        </w:tabs>
        <w:spacing w:line="246" w:lineRule="auto"/>
        <w:ind w:left="850" w:hanging="425"/>
        <w:rPr/>
      </w:pPr>
      <w:r w:rsidDel="00000000" w:rsidR="00000000" w:rsidRPr="00000000">
        <w:rPr>
          <w:color w:val="000000"/>
          <w:rtl w:val="0"/>
        </w:rPr>
        <w:t xml:space="preserve">Uso de vocabulario especifico.</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tabs>
          <w:tab w:val="left" w:leader="none" w:pos="849"/>
          <w:tab w:val="left" w:leader="none" w:pos="850"/>
        </w:tabs>
        <w:spacing w:before="40" w:lineRule="auto"/>
        <w:ind w:left="850" w:hanging="425"/>
        <w:rPr/>
      </w:pPr>
      <w:r w:rsidDel="00000000" w:rsidR="00000000" w:rsidRPr="00000000">
        <w:rPr>
          <w:color w:val="000000"/>
          <w:rtl w:val="0"/>
        </w:rPr>
        <w:t xml:space="preserve">Entrega de actividades y trabajos prácticos en tiempo y formas acordadas.</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tabs>
          <w:tab w:val="left" w:leader="none" w:pos="849"/>
          <w:tab w:val="left" w:leader="none" w:pos="850"/>
        </w:tabs>
        <w:spacing w:before="39" w:line="276" w:lineRule="auto"/>
        <w:ind w:left="144" w:right="801" w:firstLine="280"/>
        <w:rPr/>
        <w:sectPr>
          <w:type w:val="nextPage"/>
          <w:pgSz w:h="15840" w:w="12240" w:orient="portrait"/>
          <w:pgMar w:bottom="1180" w:top="2820" w:left="1560" w:right="1580" w:header="700" w:footer="993"/>
        </w:sectPr>
      </w:pPr>
      <w:r w:rsidDel="00000000" w:rsidR="00000000" w:rsidRPr="00000000">
        <w:rPr>
          <w:color w:val="000000"/>
          <w:rtl w:val="0"/>
        </w:rPr>
        <w:t xml:space="preserve">Predisposición para el trabajo en grupo. Respeto hacia las opiniones de los demás.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 w:lineRule="auto"/>
        <w:rPr>
          <w:color w:val="000000"/>
          <w:sz w:val="14"/>
          <w:szCs w:val="14"/>
        </w:rPr>
      </w:pP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tabs>
          <w:tab w:val="left" w:leader="none" w:pos="853"/>
        </w:tabs>
        <w:spacing w:before="94" w:line="276" w:lineRule="auto"/>
        <w:ind w:left="144" w:right="110" w:firstLine="280"/>
        <w:jc w:val="both"/>
        <w:rPr/>
      </w:pPr>
      <w:r w:rsidDel="00000000" w:rsidR="00000000" w:rsidRPr="00000000">
        <w:rPr>
          <w:color w:val="000000"/>
          <w:rtl w:val="0"/>
        </w:rPr>
        <w:t xml:space="preserve">Relación teoría-práctica. Toma de decisiones pertinentes ante situaciones problemáticas reales o hipotetizadas.</w:t>
      </w:r>
      <w:r w:rsidDel="00000000" w:rsidR="00000000" w:rsidRPr="00000000">
        <w:rPr>
          <w:rtl w:val="0"/>
        </w:rPr>
      </w:r>
    </w:p>
    <w:p w:rsidR="00000000" w:rsidDel="00000000" w:rsidP="00000000" w:rsidRDefault="00000000" w:rsidRPr="00000000" w14:paraId="0000004D">
      <w:pPr>
        <w:pStyle w:val="Heading1"/>
        <w:spacing w:line="250" w:lineRule="auto"/>
        <w:ind w:firstLine="144"/>
        <w:rPr/>
      </w:pPr>
      <w:r w:rsidDel="00000000" w:rsidR="00000000" w:rsidRPr="00000000">
        <w:rPr>
          <w:rtl w:val="0"/>
        </w:rPr>
        <w:t xml:space="preserve">Instrumentos de evaluación:</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tabs>
          <w:tab w:val="left" w:leader="none" w:pos="853"/>
        </w:tabs>
        <w:ind w:left="852" w:hanging="428"/>
        <w:jc w:val="both"/>
        <w:rPr/>
      </w:pPr>
      <w:r w:rsidDel="00000000" w:rsidR="00000000" w:rsidRPr="00000000">
        <w:rPr>
          <w:color w:val="000000"/>
          <w:rtl w:val="0"/>
        </w:rPr>
        <w:t xml:space="preserve">Observación y retroalimentación dialógica de la actividad áulica.</w:t>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tabs>
          <w:tab w:val="left" w:leader="none" w:pos="853"/>
        </w:tabs>
        <w:spacing w:before="38" w:lineRule="auto"/>
        <w:ind w:left="852" w:hanging="428"/>
        <w:jc w:val="both"/>
        <w:rPr/>
      </w:pPr>
      <w:r w:rsidDel="00000000" w:rsidR="00000000" w:rsidRPr="00000000">
        <w:rPr>
          <w:color w:val="000000"/>
          <w:rtl w:val="0"/>
        </w:rPr>
        <w:t xml:space="preserve">Análisis del proceso de producción grupal.</w:t>
      </w: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tabs>
          <w:tab w:val="left" w:leader="none" w:pos="853"/>
        </w:tabs>
        <w:spacing w:before="39" w:line="276" w:lineRule="auto"/>
        <w:ind w:left="144" w:right="110" w:firstLine="280"/>
        <w:jc w:val="both"/>
        <w:rPr/>
      </w:pPr>
      <w:r w:rsidDel="00000000" w:rsidR="00000000" w:rsidRPr="00000000">
        <w:rPr>
          <w:color w:val="000000"/>
          <w:rtl w:val="0"/>
        </w:rPr>
        <w:t xml:space="preserve">Realización de trabajos prácticos parciales. La acreditación final será con la producción de un trabajo escrito de elaboración académica que presente una temática original y que articule contenidos de diferentes unidades, para proceder luego la consiguiente defensa oral del mismo.</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left="144" w:right="105" w:firstLine="0"/>
        <w:jc w:val="both"/>
        <w:rPr>
          <w:color w:val="000000"/>
        </w:rPr>
      </w:pPr>
      <w:r w:rsidDel="00000000" w:rsidR="00000000" w:rsidRPr="00000000">
        <w:rPr>
          <w:rFonts w:ascii="Arial" w:cs="Arial" w:eastAsia="Arial" w:hAnsi="Arial"/>
          <w:b w:val="1"/>
          <w:color w:val="000000"/>
          <w:u w:val="single"/>
          <w:rtl w:val="0"/>
        </w:rPr>
        <w:t xml:space="preserve">Modalidad de cursada y criterios para la acreditación: </w:t>
      </w:r>
      <w:r w:rsidDel="00000000" w:rsidR="00000000" w:rsidRPr="00000000">
        <w:rPr>
          <w:color w:val="000000"/>
          <w:rtl w:val="0"/>
        </w:rPr>
        <w:t xml:space="preserve">Según RAM (Fe G. d., 2015) y Diseño Nivel Inicial (Fe M. d., 2009).Este seminario deberá ser cursado solamente en condición de regular, con cursado presencial o semipresencial. Para promocionar se tendrá en cuenta el cumplimiento de los siguientes requisitos:</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tabs>
          <w:tab w:val="left" w:leader="none" w:pos="853"/>
        </w:tabs>
        <w:spacing w:before="198" w:lineRule="auto"/>
        <w:ind w:left="852" w:hanging="428"/>
        <w:jc w:val="both"/>
        <w:rPr/>
      </w:pPr>
      <w:r w:rsidDel="00000000" w:rsidR="00000000" w:rsidRPr="00000000">
        <w:rPr>
          <w:color w:val="000000"/>
          <w:rtl w:val="0"/>
        </w:rPr>
        <w:t xml:space="preserve">75%/60% asistencia presencial o 40%, en caso de semipresencial.</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tabs>
          <w:tab w:val="left" w:leader="none" w:pos="853"/>
        </w:tabs>
        <w:spacing w:before="38" w:line="280" w:lineRule="auto"/>
        <w:ind w:left="144" w:right="112" w:firstLine="280"/>
        <w:jc w:val="both"/>
        <w:rPr/>
      </w:pPr>
      <w:r w:rsidDel="00000000" w:rsidR="00000000" w:rsidRPr="00000000">
        <w:rPr>
          <w:color w:val="000000"/>
          <w:rtl w:val="0"/>
        </w:rPr>
        <w:t xml:space="preserve">Aprobar la elaboración y defensa de un trabajo de producción académica (monografía, ensayo, proyecto, otros) con su correspondiente defensa oral.</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tabs>
          <w:tab w:val="left" w:leader="none" w:pos="853"/>
        </w:tabs>
        <w:spacing w:line="276" w:lineRule="auto"/>
        <w:ind w:left="144" w:right="120" w:firstLine="280"/>
        <w:jc w:val="both"/>
        <w:rPr/>
      </w:pPr>
      <w:r w:rsidDel="00000000" w:rsidR="00000000" w:rsidRPr="00000000">
        <w:rPr>
          <w:color w:val="000000"/>
          <w:rtl w:val="0"/>
        </w:rPr>
        <w:t xml:space="preserve">La producción escrita deberá ser aprobada como requisito previo para acceder a la defensa oral. La defensa oral del trabajo escrito será ante tribunal durante el periodo de mesa de exámenes. Si el estudiante no lo aprueba la defensa oral en los tres turnos consecutivos posteriores a la finalización del cursado, deberá recursar el seminario.</w:t>
      </w: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853"/>
        </w:tabs>
        <w:ind w:left="852" w:hanging="428"/>
        <w:jc w:val="both"/>
        <w:rPr/>
      </w:pPr>
      <w:r w:rsidDel="00000000" w:rsidR="00000000" w:rsidRPr="00000000">
        <w:rPr>
          <w:color w:val="000000"/>
          <w:rtl w:val="0"/>
        </w:rPr>
        <w:t xml:space="preserve">La nota será de 6 (seis) o más sin centésimos.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58">
      <w:pPr>
        <w:pStyle w:val="Heading1"/>
        <w:ind w:firstLine="144"/>
        <w:rPr/>
      </w:pPr>
      <w:r w:rsidDel="00000000" w:rsidR="00000000" w:rsidRPr="00000000">
        <w:rPr>
          <w:u w:val="single"/>
          <w:rtl w:val="0"/>
        </w:rPr>
        <w:t xml:space="preserve">Bibliografía general.</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9"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A">
      <w:pPr>
        <w:ind w:left="144" w:firstLine="0"/>
        <w:rPr>
          <w:rFonts w:ascii="Arial" w:cs="Arial" w:eastAsia="Arial" w:hAnsi="Arial"/>
          <w:b w:val="1"/>
        </w:rPr>
      </w:pPr>
      <w:r w:rsidDel="00000000" w:rsidR="00000000" w:rsidRPr="00000000">
        <w:rPr>
          <w:rFonts w:ascii="Arial" w:cs="Arial" w:eastAsia="Arial" w:hAnsi="Arial"/>
          <w:b w:val="1"/>
          <w:u w:val="single"/>
          <w:rtl w:val="0"/>
        </w:rPr>
        <w:t xml:space="preserve">Módulo 1</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tabs>
          <w:tab w:val="left" w:leader="none" w:pos="502"/>
        </w:tabs>
        <w:spacing w:line="309" w:lineRule="auto"/>
        <w:ind w:left="501" w:right="118" w:hanging="360"/>
        <w:jc w:val="both"/>
        <w:rPr/>
      </w:pPr>
      <w:r w:rsidDel="00000000" w:rsidR="00000000" w:rsidRPr="00000000">
        <w:rPr>
          <w:color w:val="000000"/>
          <w:rtl w:val="0"/>
        </w:rPr>
        <w:t xml:space="preserve">Morgade, Graciela “Educación en la sexualidad desde el enfoque de género: una antigua deuda de la escuela” Novedades educativas N°184- Abril 2006.</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tabs>
          <w:tab w:val="left" w:leader="none" w:pos="502"/>
        </w:tabs>
        <w:spacing w:before="70" w:line="336" w:lineRule="auto"/>
        <w:ind w:left="501" w:right="115" w:hanging="360"/>
        <w:jc w:val="both"/>
        <w:rPr/>
      </w:pPr>
      <w:r w:rsidDel="00000000" w:rsidR="00000000" w:rsidRPr="00000000">
        <w:rPr>
          <w:color w:val="000000"/>
          <w:rtl w:val="0"/>
        </w:rPr>
        <w:t xml:space="preserve">Fernández, A. M. (2013). El orden sexual moderno y las diversidades sexuales ¿la diferencia desquiciada?En A.M.Peres,Género y diversidades sexuales. Buenos Aires: Biblos.</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tabs>
          <w:tab w:val="left" w:leader="none" w:pos="502"/>
        </w:tabs>
        <w:spacing w:before="34" w:line="309" w:lineRule="auto"/>
        <w:ind w:left="501" w:right="121" w:hanging="360"/>
        <w:jc w:val="both"/>
        <w:rPr/>
        <w:sectPr>
          <w:type w:val="nextPage"/>
          <w:pgSz w:h="15840" w:w="12240" w:orient="portrait"/>
          <w:pgMar w:bottom="1180" w:top="2820" w:left="1560" w:right="1580" w:header="700" w:footer="993"/>
        </w:sectPr>
      </w:pPr>
      <w:r w:rsidDel="00000000" w:rsidR="00000000" w:rsidRPr="00000000">
        <w:rPr>
          <w:color w:val="000000"/>
          <w:rtl w:val="0"/>
        </w:rPr>
        <w:t xml:space="preserve">Pauluzzi, Liliana (2005) “Educación Sexual y Prevención de la violencia”. Hipólita Ediciones. Rosario. Introducción y cap. 1.</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4" w:lineRule="auto"/>
        <w:rPr>
          <w:color w:val="000000"/>
          <w:sz w:val="14"/>
          <w:szCs w:val="14"/>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leader="none" w:pos="502"/>
        </w:tabs>
        <w:spacing w:before="94" w:line="336" w:lineRule="auto"/>
        <w:ind w:left="501" w:right="113" w:hanging="360"/>
        <w:jc w:val="both"/>
        <w:rPr/>
      </w:pPr>
      <w:r w:rsidDel="00000000" w:rsidR="00000000" w:rsidRPr="00000000">
        <w:rPr>
          <w:color w:val="000000"/>
          <w:rtl w:val="0"/>
        </w:rPr>
        <w:t xml:space="preserve">Introducción a los conceptos de sexualidad y educación sexual, Escrito por Greco, Maria Beatriz en Curso Virtual “Educación sexual integral y escuela” Modulo 1. Ministerio de educación de la nación. 2008.</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tabs>
          <w:tab w:val="left" w:leader="none" w:pos="502"/>
        </w:tabs>
        <w:spacing w:before="34" w:line="336" w:lineRule="auto"/>
        <w:ind w:left="501" w:right="115" w:hanging="360"/>
        <w:jc w:val="both"/>
        <w:rPr/>
      </w:pPr>
      <w:r w:rsidDel="00000000" w:rsidR="00000000" w:rsidRPr="00000000">
        <w:rPr>
          <w:color w:val="000000"/>
          <w:rtl w:val="0"/>
        </w:rPr>
        <w:t xml:space="preserve">Faur, Eleonor “La educación en sexualidad”. Dossier .En Revista el Monitor de la educación Nº 11. Ministerio de Educación Ciencia y Tecnología de la Nación. Año 5 Marzo/ Abril 2007.</w:t>
      </w: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tabs>
          <w:tab w:val="left" w:leader="none" w:pos="502"/>
        </w:tabs>
        <w:spacing w:before="29" w:line="336" w:lineRule="auto"/>
        <w:ind w:left="501" w:right="116" w:hanging="360"/>
        <w:jc w:val="both"/>
        <w:rPr/>
      </w:pPr>
      <w:r w:rsidDel="00000000" w:rsidR="00000000" w:rsidRPr="00000000">
        <w:rPr>
          <w:color w:val="000000"/>
          <w:rtl w:val="0"/>
        </w:rPr>
        <w:t xml:space="preserve">Fernández, Alicia (1992) La sexualidad atrapada de la señorita maestra. Una lectura Psicopedagógica del ser mujer, la corporeidad y el aprendizaje. (Cap1, 2 y 3) Nueva visión. Bs. As.</w:t>
      </w: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leader="none" w:pos="502"/>
        </w:tabs>
        <w:spacing w:before="37" w:line="309" w:lineRule="auto"/>
        <w:ind w:left="501" w:right="115" w:hanging="360"/>
        <w:jc w:val="both"/>
        <w:rPr/>
      </w:pPr>
      <w:r w:rsidDel="00000000" w:rsidR="00000000" w:rsidRPr="00000000">
        <w:rPr>
          <w:color w:val="000000"/>
          <w:rtl w:val="0"/>
        </w:rPr>
        <w:t xml:space="preserve">Dusel, Inés “El guardapolvo blanco”, en Revista “El monitor” Nro. 12. Misterio de Educación- Presidencia de la Nación.</w:t>
      </w: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tabs>
          <w:tab w:val="left" w:leader="none" w:pos="505"/>
        </w:tabs>
        <w:spacing w:before="67" w:lineRule="auto"/>
        <w:ind w:left="504" w:hanging="361"/>
        <w:jc w:val="both"/>
        <w:rPr/>
      </w:pPr>
      <w:r w:rsidDel="00000000" w:rsidR="00000000" w:rsidRPr="00000000">
        <w:rPr>
          <w:color w:val="000000"/>
          <w:rtl w:val="0"/>
        </w:rPr>
        <w:t xml:space="preserve">Ley Nacional de Educación Sexual Integral Nº 26150/06</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jc w:val="both"/>
        <w:rPr/>
      </w:pPr>
      <w:r w:rsidDel="00000000" w:rsidR="00000000" w:rsidRPr="00000000">
        <w:rPr>
          <w:color w:val="000000"/>
          <w:rtl w:val="0"/>
        </w:rPr>
        <w:t xml:space="preserve">Ley 26150. Programa Nacional de Educación Sexual Integral.</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leader="none" w:pos="502"/>
        </w:tabs>
        <w:spacing w:before="90" w:line="312" w:lineRule="auto"/>
        <w:ind w:left="501" w:right="107" w:hanging="360"/>
        <w:jc w:val="both"/>
        <w:rPr/>
      </w:pPr>
      <w:r w:rsidDel="00000000" w:rsidR="00000000" w:rsidRPr="00000000">
        <w:rPr>
          <w:color w:val="000000"/>
          <w:rtl w:val="0"/>
        </w:rPr>
        <w:t xml:space="preserve">Lineamientos Curriculares para la Educación Sexual Integral (ESI). Ministerio de Educación. Presidencia de la Nación. CFE.</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leader="none" w:pos="505"/>
        </w:tabs>
        <w:spacing w:before="63" w:lineRule="auto"/>
        <w:ind w:left="504" w:hanging="361"/>
        <w:jc w:val="both"/>
        <w:rPr/>
      </w:pPr>
      <w:r w:rsidDel="00000000" w:rsidR="00000000" w:rsidRPr="00000000">
        <w:rPr>
          <w:color w:val="000000"/>
          <w:rtl w:val="0"/>
        </w:rPr>
        <w:t xml:space="preserve">Ley N°23.849/90 Convención de los Derechos de los Niños, Niñas y Adolescentes</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502"/>
        </w:tabs>
        <w:spacing w:before="87" w:line="309" w:lineRule="auto"/>
        <w:ind w:left="501" w:right="131" w:hanging="360"/>
        <w:rPr/>
      </w:pPr>
      <w:r w:rsidDel="00000000" w:rsidR="00000000" w:rsidRPr="00000000">
        <w:rPr>
          <w:color w:val="000000"/>
          <w:rtl w:val="0"/>
        </w:rPr>
        <w:t xml:space="preserve">Ley Nº 26.061/2005 de Protección Integral de los derechos de las niñas, niños y adolescentes.</w:t>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tabs>
          <w:tab w:val="left" w:leader="none" w:pos="505"/>
        </w:tabs>
        <w:spacing w:before="67" w:lineRule="auto"/>
        <w:ind w:left="504" w:hanging="361"/>
        <w:rPr/>
      </w:pPr>
      <w:r w:rsidDel="00000000" w:rsidR="00000000" w:rsidRPr="00000000">
        <w:rPr>
          <w:color w:val="000000"/>
          <w:rtl w:val="0"/>
        </w:rPr>
        <w:t xml:space="preserve">Ley 26.206/06 de Educación Nacional.</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rPr/>
      </w:pPr>
      <w:r w:rsidDel="00000000" w:rsidR="00000000" w:rsidRPr="00000000">
        <w:rPr>
          <w:color w:val="000000"/>
          <w:rtl w:val="0"/>
        </w:rPr>
        <w:t xml:space="preserve">Ley 23.592/88 Antidiscriminatoria.</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Ley Nacional de Sida 23.798/90 y su decreto reglamentario Nº1244/91.</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Declaración Consensual sobre el Sida en las Escuelas. UNESCO, OMS y OIT.</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tabs>
          <w:tab w:val="left" w:leader="none" w:pos="505"/>
        </w:tabs>
        <w:spacing w:before="87" w:lineRule="auto"/>
        <w:ind w:left="504" w:hanging="361"/>
        <w:rPr/>
      </w:pPr>
      <w:r w:rsidDel="00000000" w:rsidR="00000000" w:rsidRPr="00000000">
        <w:rPr>
          <w:color w:val="000000"/>
          <w:rtl w:val="0"/>
        </w:rPr>
        <w:t xml:space="preserve">Ley 25.673/02 Salud Sexual y Procreación Responsable.</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leader="none" w:pos="505"/>
        </w:tabs>
        <w:spacing w:before="93" w:lineRule="auto"/>
        <w:ind w:left="504" w:hanging="361"/>
        <w:rPr/>
      </w:pPr>
      <w:r w:rsidDel="00000000" w:rsidR="00000000" w:rsidRPr="00000000">
        <w:rPr>
          <w:color w:val="000000"/>
          <w:rtl w:val="0"/>
        </w:rPr>
        <w:t xml:space="preserve">Ley Nacional de Migraciones 25.871/04.</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rPr/>
        <w:sectPr>
          <w:type w:val="nextPage"/>
          <w:pgSz w:h="15840" w:w="12240" w:orient="portrait"/>
          <w:pgMar w:bottom="1180" w:top="2820" w:left="1560" w:right="1580" w:header="700" w:footer="993"/>
        </w:sectPr>
      </w:pPr>
      <w:r w:rsidDel="00000000" w:rsidR="00000000" w:rsidRPr="00000000">
        <w:rPr>
          <w:color w:val="000000"/>
          <w:rtl w:val="0"/>
        </w:rPr>
        <w:t xml:space="preserve">Ley Nacional N° 25.929/04 Derechos en el Nacimiento.</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4" w:lineRule="auto"/>
        <w:rPr>
          <w:color w:val="000000"/>
          <w:sz w:val="14"/>
          <w:szCs w:val="14"/>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leader="none" w:pos="502"/>
        </w:tabs>
        <w:spacing w:before="94" w:line="336" w:lineRule="auto"/>
        <w:ind w:left="501" w:right="112" w:hanging="360"/>
        <w:jc w:val="both"/>
        <w:rPr/>
      </w:pPr>
      <w:r w:rsidDel="00000000" w:rsidR="00000000" w:rsidRPr="00000000">
        <w:rPr>
          <w:color w:val="000000"/>
          <w:rtl w:val="0"/>
        </w:rPr>
        <w:t xml:space="preserve">Ley Nacional 26.485/09 Protección Integral para prevenir, sancionar y erradicar la violencia contra las mujeres en los ámbitos en que desarrollen sus relaciones interpersonales.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505"/>
        </w:tabs>
        <w:spacing w:before="34" w:lineRule="auto"/>
        <w:ind w:left="504" w:hanging="361"/>
        <w:jc w:val="both"/>
        <w:rPr/>
      </w:pPr>
      <w:r w:rsidDel="00000000" w:rsidR="00000000" w:rsidRPr="00000000">
        <w:rPr>
          <w:color w:val="000000"/>
          <w:rtl w:val="0"/>
        </w:rPr>
        <w:t xml:space="preserve">Ley N°26618/10 Matrimonio Civil.</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jc w:val="both"/>
        <w:rPr/>
      </w:pPr>
      <w:r w:rsidDel="00000000" w:rsidR="00000000" w:rsidRPr="00000000">
        <w:rPr>
          <w:color w:val="000000"/>
          <w:rtl w:val="0"/>
        </w:rPr>
        <w:t xml:space="preserve">Ley N°26.743/12 Derecho a la Identidad de Género.</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tabs>
          <w:tab w:val="left" w:leader="none" w:pos="502"/>
        </w:tabs>
        <w:spacing w:before="90" w:line="340" w:lineRule="auto"/>
        <w:ind w:left="501" w:right="117" w:hanging="360"/>
        <w:jc w:val="both"/>
        <w:rPr/>
      </w:pPr>
      <w:r w:rsidDel="00000000" w:rsidR="00000000" w:rsidRPr="00000000">
        <w:rPr>
          <w:color w:val="000000"/>
          <w:rtl w:val="0"/>
        </w:rPr>
        <w:t xml:space="preserve">Brailovski, D., Herrera, Silvia; Santa Cruz, Helena “La desigualdad en la educación para varones y mujeres en el jardín de infantes”, en Sociedad y Niñez. Ser niño en un mundo de contradicciones. La educación en los primeros 5 años. Noveduc. Buenos Aires, 2001.</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tabs>
          <w:tab w:val="left" w:leader="none" w:pos="502"/>
        </w:tabs>
        <w:spacing w:before="42" w:line="340" w:lineRule="auto"/>
        <w:ind w:left="501" w:right="111" w:hanging="360"/>
        <w:jc w:val="both"/>
        <w:rPr/>
      </w:pPr>
      <w:r w:rsidDel="00000000" w:rsidR="00000000" w:rsidRPr="00000000">
        <w:rPr>
          <w:color w:val="000000"/>
          <w:rtl w:val="0"/>
        </w:rPr>
        <w:t xml:space="preserve">Minnicelli, M. Función docente en tiempos de los derechos del niño”, en “Infancias y problemas sociales en un mundo que cambia: las familias, los nuevos conceptos la función docente y la tarea en el aula” 1ra. Ed. Buenos Aires: Centro de Publicaciones educativas y Material didáctico -2005.</w:t>
      </w:r>
      <w:r w:rsidDel="00000000" w:rsidR="00000000" w:rsidRPr="00000000">
        <w:rPr>
          <w:rtl w:val="0"/>
        </w:rPr>
      </w:r>
    </w:p>
    <w:p w:rsidR="00000000" w:rsidDel="00000000" w:rsidP="00000000" w:rsidRDefault="00000000" w:rsidRPr="00000000" w14:paraId="00000076">
      <w:pPr>
        <w:pStyle w:val="Heading1"/>
        <w:spacing w:before="34" w:lineRule="auto"/>
        <w:ind w:left="785" w:firstLine="0"/>
        <w:rPr/>
      </w:pPr>
      <w:r w:rsidDel="00000000" w:rsidR="00000000" w:rsidRPr="00000000">
        <w:rPr>
          <w:rtl w:val="0"/>
        </w:rPr>
        <w:t xml:space="preserve">Módulo 2</w:t>
      </w:r>
      <w:r w:rsidDel="00000000" w:rsidR="00000000" w:rsidRPr="00000000">
        <w:drawing>
          <wp:anchor allowOverlap="1" behindDoc="0" distB="0" distT="0" distL="0" distR="0" hidden="0" layoutInCell="1" locked="0" relativeHeight="0" simplePos="0">
            <wp:simplePos x="0" y="0"/>
            <wp:positionH relativeFrom="column">
              <wp:posOffset>269875</wp:posOffset>
            </wp:positionH>
            <wp:positionV relativeFrom="paragraph">
              <wp:posOffset>45015</wp:posOffset>
            </wp:positionV>
            <wp:extent cx="117475" cy="109642"/>
            <wp:effectExtent b="0" l="0" r="0" t="0"/>
            <wp:wrapNone/>
            <wp:docPr descr="*" id="5" name="image4.png"/>
            <a:graphic>
              <a:graphicData uri="http://schemas.openxmlformats.org/drawingml/2006/picture">
                <pic:pic>
                  <pic:nvPicPr>
                    <pic:cNvPr descr="*" id="0" name="image4.png"/>
                    <pic:cNvPicPr preferRelativeResize="0"/>
                  </pic:nvPicPr>
                  <pic:blipFill>
                    <a:blip r:embed="rId9"/>
                    <a:srcRect b="0" l="0" r="0" t="0"/>
                    <a:stretch>
                      <a:fillRect/>
                    </a:stretch>
                  </pic:blipFill>
                  <pic:spPr>
                    <a:xfrm>
                      <a:off x="0" y="0"/>
                      <a:ext cx="117475" cy="109642"/>
                    </a:xfrm>
                    <a:prstGeom prst="rect"/>
                    <a:ln/>
                  </pic:spPr>
                </pic:pic>
              </a:graphicData>
            </a:graphic>
          </wp:anchor>
        </w:drawing>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tabs>
          <w:tab w:val="left" w:leader="none" w:pos="502"/>
        </w:tabs>
        <w:spacing w:before="131" w:line="309" w:lineRule="auto"/>
        <w:ind w:left="501" w:right="142" w:hanging="360"/>
        <w:rPr/>
      </w:pPr>
      <w:r w:rsidDel="00000000" w:rsidR="00000000" w:rsidRPr="00000000">
        <w:rPr>
          <w:color w:val="000000"/>
          <w:rtl w:val="0"/>
        </w:rPr>
        <w:t xml:space="preserve">Freud, S., Obras completas. Volumen 1, Madrid, Biblioteca Nueva, 1948, Cap. VII, Una teoría sexual. Ensayo nº 2 "la sexualidad infantil”</w:t>
      </w: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tabs>
          <w:tab w:val="left" w:leader="none" w:pos="502"/>
        </w:tabs>
        <w:spacing w:before="67" w:line="309" w:lineRule="auto"/>
        <w:ind w:left="501" w:right="156" w:hanging="360"/>
        <w:rPr/>
      </w:pPr>
      <w:r w:rsidDel="00000000" w:rsidR="00000000" w:rsidRPr="00000000">
        <w:rPr>
          <w:color w:val="000000"/>
          <w:rtl w:val="0"/>
        </w:rPr>
        <w:t xml:space="preserve">Belgich, H. (2001) “Los afectos y la sexualidad en la escuela”. Cap. 1 Ed. Hommo Sapiens. Rosario</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tabs>
          <w:tab w:val="left" w:leader="none" w:pos="505"/>
        </w:tabs>
        <w:spacing w:before="67" w:lineRule="auto"/>
        <w:ind w:left="504" w:hanging="361"/>
        <w:rPr/>
      </w:pPr>
      <w:r w:rsidDel="00000000" w:rsidR="00000000" w:rsidRPr="00000000">
        <w:rPr>
          <w:color w:val="000000"/>
          <w:rtl w:val="0"/>
        </w:rPr>
        <w:t xml:space="preserve">Aguirre, Elina (Comp.)La sexualidad y los niños. Ensayando intervenciones. Cap. 1 a</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85" w:lineRule="auto"/>
        <w:ind w:left="501" w:firstLine="0"/>
        <w:rPr>
          <w:color w:val="000000"/>
        </w:rPr>
      </w:pPr>
      <w:r w:rsidDel="00000000" w:rsidR="00000000" w:rsidRPr="00000000">
        <w:rPr>
          <w:color w:val="000000"/>
          <w:rtl w:val="0"/>
        </w:rPr>
        <w:t xml:space="preserve">4. Colección del melón. Buenos Aires: Lugar editorial, 2009.</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tabs>
          <w:tab w:val="left" w:leader="none" w:pos="502"/>
        </w:tabs>
        <w:spacing w:before="129" w:line="336" w:lineRule="auto"/>
        <w:ind w:left="501" w:right="117" w:hanging="360"/>
        <w:jc w:val="both"/>
        <w:rPr/>
      </w:pPr>
      <w:r w:rsidDel="00000000" w:rsidR="00000000" w:rsidRPr="00000000">
        <w:rPr>
          <w:color w:val="000000"/>
          <w:rtl w:val="0"/>
        </w:rPr>
        <w:t xml:space="preserve">Maltz, Liliana “De había una vez una caricia a una apuesta a la ternura, en Ramos, Gabriela “La educación sexual integral (ESI) en el nivel inicial” Rosario: Hommo Sapiens, 2017.</w:t>
      </w: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tabs>
          <w:tab w:val="left" w:leader="none" w:pos="502"/>
        </w:tabs>
        <w:spacing w:before="37" w:line="343" w:lineRule="auto"/>
        <w:ind w:left="501" w:right="111" w:hanging="360"/>
        <w:jc w:val="both"/>
        <w:rPr/>
      </w:pPr>
      <w:r w:rsidDel="00000000" w:rsidR="00000000" w:rsidRPr="00000000">
        <w:rPr>
          <w:color w:val="000000"/>
          <w:rtl w:val="0"/>
        </w:rPr>
        <w:t xml:space="preserve">Aguirre Elina: Transformaciones en la niñez y en las configuraciones familiares .La construcción de vínculos en el mundo actual.”. Ministerio de Educación, Ciencia y Tecnología de la Nación .Dirección Nacional de Gestión Curricular y Gestión Docente. Trayecto Formativo para Directivos de Nivel Inicial.</w:t>
      </w:r>
      <w:r w:rsidDel="00000000" w:rsidR="00000000" w:rsidRPr="00000000">
        <w:rPr>
          <w:rtl w:val="0"/>
        </w:rPr>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tabs>
          <w:tab w:val="left" w:leader="none" w:pos="502"/>
        </w:tabs>
        <w:spacing w:before="31" w:line="312" w:lineRule="auto"/>
        <w:ind w:left="501" w:right="122" w:hanging="360"/>
        <w:jc w:val="both"/>
        <w:rPr/>
        <w:sectPr>
          <w:type w:val="nextPage"/>
          <w:pgSz w:h="15840" w:w="12240" w:orient="portrait"/>
          <w:pgMar w:bottom="1180" w:top="2820" w:left="1560" w:right="1580" w:header="700" w:footer="993"/>
        </w:sectPr>
      </w:pPr>
      <w:r w:rsidDel="00000000" w:rsidR="00000000" w:rsidRPr="00000000">
        <w:rPr>
          <w:color w:val="000000"/>
          <w:rtl w:val="0"/>
        </w:rPr>
        <w:t xml:space="preserve">Ramírez, Román, C.” Mi familia, tu familia, las familias”, en Minnicelli, M. “Infancias y problemas sociales en un mundo que cambia: las familias, los nuevos conceptos la</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Rule="auto"/>
        <w:rPr>
          <w:color w:val="000000"/>
          <w:sz w:val="14"/>
          <w:szCs w:val="1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94" w:line="360" w:lineRule="auto"/>
        <w:ind w:left="501" w:right="126" w:firstLine="0"/>
        <w:jc w:val="both"/>
        <w:rPr>
          <w:color w:val="000000"/>
        </w:rPr>
      </w:pPr>
      <w:r w:rsidDel="00000000" w:rsidR="00000000" w:rsidRPr="00000000">
        <w:rPr>
          <w:color w:val="000000"/>
          <w:rtl w:val="0"/>
        </w:rPr>
        <w:t xml:space="preserve">función docente y la tarea en el aula” 1ra. Ed. Buenos Aires: Centro de Publicaciones educativas y Material didáctico -2005.</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leader="none" w:pos="502"/>
        </w:tabs>
        <w:spacing w:line="312" w:lineRule="auto"/>
        <w:ind w:left="501" w:right="121" w:hanging="360"/>
        <w:jc w:val="both"/>
        <w:rPr/>
      </w:pPr>
      <w:r w:rsidDel="00000000" w:rsidR="00000000" w:rsidRPr="00000000">
        <w:rPr>
          <w:color w:val="000000"/>
          <w:rtl w:val="0"/>
        </w:rPr>
        <w:t xml:space="preserve">Aulagnier, P. (1968) El derecho al secreto: la condición para poder pensar, en Un intérprete en búsqueda de sentido. Siglo XXI-Madrid</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tabs>
          <w:tab w:val="left" w:leader="none" w:pos="502"/>
        </w:tabs>
        <w:spacing w:before="62" w:line="336" w:lineRule="auto"/>
        <w:ind w:left="501" w:right="112" w:hanging="360"/>
        <w:jc w:val="both"/>
        <w:rPr/>
      </w:pPr>
      <w:r w:rsidDel="00000000" w:rsidR="00000000" w:rsidRPr="00000000">
        <w:rPr>
          <w:color w:val="000000"/>
          <w:rtl w:val="0"/>
        </w:rPr>
        <w:t xml:space="preserve">Ulloa, F. (2005). Escenarios de la ternura, resonancias en la educación maternal". Ciclo de conferencias Proyecto fortalecimiento de la tarea educativa en instituciones maternales. Buenos Aires: CEPA.</w:t>
      </w: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tabs>
          <w:tab w:val="left" w:leader="none" w:pos="502"/>
        </w:tabs>
        <w:spacing w:before="34" w:line="312" w:lineRule="auto"/>
        <w:ind w:left="501" w:right="119" w:hanging="360"/>
        <w:jc w:val="both"/>
        <w:rPr/>
      </w:pPr>
      <w:r w:rsidDel="00000000" w:rsidR="00000000" w:rsidRPr="00000000">
        <w:rPr>
          <w:color w:val="000000"/>
          <w:rtl w:val="0"/>
        </w:rPr>
        <w:t xml:space="preserve">Volnovich, Juan Carlos (1999) “La inocente sexualidad de los varones y la culpable sexualidad de las niñas”, en “El siglo del niño el niño del siglo”. Lumen: Buenos Aires.</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tabs>
          <w:tab w:val="left" w:leader="none" w:pos="502"/>
        </w:tabs>
        <w:spacing w:before="65" w:line="340" w:lineRule="auto"/>
        <w:ind w:left="501" w:right="113" w:hanging="360"/>
        <w:jc w:val="both"/>
        <w:rPr/>
      </w:pPr>
      <w:r w:rsidDel="00000000" w:rsidR="00000000" w:rsidRPr="00000000">
        <w:rPr>
          <w:color w:val="000000"/>
          <w:rtl w:val="0"/>
        </w:rPr>
        <w:t xml:space="preserve">Zelmanovich, P. (2003). “Contra el desamparo” Artículo publicado en “Enseñar hoy. Una introducción a la ecuación en tiempos de crisis”. Dussel, I. y Finocchio, S. (comp.) Fondo de la cultura económica, Buenos Aires, Argentina. Recuperado el día 3/11/2017 de: </w:t>
      </w:r>
      <w:hyperlink r:id="rId10">
        <w:r w:rsidDel="00000000" w:rsidR="00000000" w:rsidRPr="00000000">
          <w:rPr>
            <w:color w:val="000000"/>
            <w:rtl w:val="0"/>
          </w:rPr>
          <w:t xml:space="preserve">http://campuseducativo.santafe.gob.ar/wp-content/uploads/Contra-el-desamparo.-</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39" w:lineRule="auto"/>
        <w:ind w:left="501" w:firstLine="0"/>
        <w:rPr>
          <w:color w:val="000000"/>
        </w:rPr>
      </w:pPr>
      <w:r w:rsidDel="00000000" w:rsidR="00000000" w:rsidRPr="00000000">
        <w:rPr>
          <w:color w:val="000000"/>
          <w:rtl w:val="0"/>
        </w:rPr>
        <w:t xml:space="preserve">Perla-Zelmanovich.pdf</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tabs>
          <w:tab w:val="left" w:leader="none" w:pos="502"/>
        </w:tabs>
        <w:spacing w:before="126" w:line="340" w:lineRule="auto"/>
        <w:ind w:left="501" w:right="108" w:hanging="360"/>
        <w:jc w:val="both"/>
        <w:rPr/>
      </w:pPr>
      <w:r w:rsidDel="00000000" w:rsidR="00000000" w:rsidRPr="00000000">
        <w:rPr>
          <w:color w:val="000000"/>
          <w:rtl w:val="0"/>
        </w:rPr>
        <w:t xml:space="preserve">Zelmanovich, P. Apostar a la transmisión y la enseñanza: a propósito de la producción de infancias ,en “La educación inicial hoy : maestros, niños, enseñanzas : ciclo de conferencias 2007 La Plata : Dirección General de Cultura y Educación, 2007 p. 151- 164</w:t>
      </w: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tabs>
          <w:tab w:val="left" w:leader="none" w:pos="502"/>
        </w:tabs>
        <w:spacing w:before="41" w:line="312" w:lineRule="auto"/>
        <w:ind w:left="501" w:right="117" w:hanging="360"/>
        <w:jc w:val="both"/>
        <w:rPr/>
      </w:pPr>
      <w:r w:rsidDel="00000000" w:rsidR="00000000" w:rsidRPr="00000000">
        <w:rPr>
          <w:color w:val="000000"/>
          <w:rtl w:val="0"/>
        </w:rPr>
        <w:t xml:space="preserve">Bleichmar, Silvia (2008) “Violencia social. Violencia escolar” Cap1.Noveduc, Buenos Aires.</w:t>
      </w:r>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tabs>
          <w:tab w:val="left" w:leader="none" w:pos="502"/>
        </w:tabs>
        <w:spacing w:before="62" w:line="309" w:lineRule="auto"/>
        <w:ind w:left="501" w:right="113" w:hanging="360"/>
        <w:jc w:val="both"/>
        <w:rPr/>
      </w:pPr>
      <w:r w:rsidDel="00000000" w:rsidR="00000000" w:rsidRPr="00000000">
        <w:rPr>
          <w:color w:val="000000"/>
          <w:rtl w:val="0"/>
        </w:rPr>
        <w:t xml:space="preserve">Curso Virtual de educación sexual. “Educación sexual integral y escuela” Ministerio de educación de la nación .Modulo 2 y 3.</w:t>
      </w: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tabs>
          <w:tab w:val="left" w:leader="none" w:pos="502"/>
        </w:tabs>
        <w:spacing w:before="65" w:line="312" w:lineRule="auto"/>
        <w:ind w:left="501" w:right="126" w:hanging="360"/>
        <w:jc w:val="both"/>
        <w:rPr/>
      </w:pPr>
      <w:r w:rsidDel="00000000" w:rsidR="00000000" w:rsidRPr="00000000">
        <w:rPr>
          <w:color w:val="000000"/>
          <w:rtl w:val="0"/>
        </w:rPr>
        <w:t xml:space="preserve">Faur, Eleonor, Sexualidad y familia. Crisis y desafíos frente al siglo XXI, Bs. As., Noveduc, 2005, "Masculinidades y familia".</w:t>
      </w: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502"/>
        </w:tabs>
        <w:spacing w:before="63" w:line="309" w:lineRule="auto"/>
        <w:ind w:left="501" w:right="116" w:hanging="360"/>
        <w:jc w:val="both"/>
        <w:rPr/>
      </w:pPr>
      <w:r w:rsidDel="00000000" w:rsidR="00000000" w:rsidRPr="00000000">
        <w:rPr>
          <w:color w:val="000000"/>
          <w:rtl w:val="0"/>
        </w:rPr>
        <w:t xml:space="preserve">Volnovich, J. (2016) Abuso sexual en la infancia, El quehacer y la ética” Lumen. Buenos Aires.</w:t>
      </w: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tabs>
          <w:tab w:val="left" w:leader="none" w:pos="502"/>
        </w:tabs>
        <w:spacing w:before="64" w:line="312" w:lineRule="auto"/>
        <w:ind w:left="501" w:right="122" w:hanging="360"/>
        <w:jc w:val="both"/>
        <w:rPr/>
      </w:pPr>
      <w:r w:rsidDel="00000000" w:rsidR="00000000" w:rsidRPr="00000000">
        <w:rPr>
          <w:color w:val="000000"/>
          <w:rtl w:val="0"/>
        </w:rPr>
        <w:t xml:space="preserve">Volnovich, Jorge. ( 2015) “Si antes el abuso se escondía debajo de la alfombra, ahora se esconde mostrando demasiado” Pagina 12- Buenos Aires</w:t>
      </w:r>
      <w:r w:rsidDel="00000000" w:rsidR="00000000" w:rsidRPr="00000000">
        <w:rPr>
          <w:rtl w:val="0"/>
        </w:rPr>
      </w:r>
    </w:p>
    <w:p w:rsidR="00000000" w:rsidDel="00000000" w:rsidP="00000000" w:rsidRDefault="00000000" w:rsidRPr="00000000" w14:paraId="0000008B">
      <w:pPr>
        <w:pStyle w:val="Heading1"/>
        <w:spacing w:before="60" w:lineRule="auto"/>
        <w:ind w:left="785" w:firstLine="0"/>
        <w:rPr/>
        <w:sectPr>
          <w:type w:val="nextPage"/>
          <w:pgSz w:h="15840" w:w="12240" w:orient="portrait"/>
          <w:pgMar w:bottom="1180" w:top="2820" w:left="1560" w:right="1580" w:header="700" w:footer="993"/>
        </w:sectPr>
      </w:pPr>
      <w:r w:rsidDel="00000000" w:rsidR="00000000" w:rsidRPr="00000000">
        <w:rPr>
          <w:rtl w:val="0"/>
        </w:rPr>
        <w:t xml:space="preserve">Módulo 3</w:t>
      </w:r>
      <w:r w:rsidDel="00000000" w:rsidR="00000000" w:rsidRPr="00000000">
        <w:drawing>
          <wp:anchor allowOverlap="1" behindDoc="0" distB="0" distT="0" distL="0" distR="0" hidden="0" layoutInCell="1" locked="0" relativeHeight="0" simplePos="0">
            <wp:simplePos x="0" y="0"/>
            <wp:positionH relativeFrom="column">
              <wp:posOffset>269875</wp:posOffset>
            </wp:positionH>
            <wp:positionV relativeFrom="paragraph">
              <wp:posOffset>60087</wp:posOffset>
            </wp:positionV>
            <wp:extent cx="117475" cy="109049"/>
            <wp:effectExtent b="0" l="0" r="0" t="0"/>
            <wp:wrapNone/>
            <wp:docPr descr="*" id="9" name="image4.png"/>
            <a:graphic>
              <a:graphicData uri="http://schemas.openxmlformats.org/drawingml/2006/picture">
                <pic:pic>
                  <pic:nvPicPr>
                    <pic:cNvPr descr="*" id="0" name="image4.png"/>
                    <pic:cNvPicPr preferRelativeResize="0"/>
                  </pic:nvPicPr>
                  <pic:blipFill>
                    <a:blip r:embed="rId9"/>
                    <a:srcRect b="0" l="0" r="0" t="0"/>
                    <a:stretch>
                      <a:fillRect/>
                    </a:stretch>
                  </pic:blipFill>
                  <pic:spPr>
                    <a:xfrm>
                      <a:off x="0" y="0"/>
                      <a:ext cx="117475" cy="109049"/>
                    </a:xfrm>
                    <a:prstGeom prst="rect"/>
                    <a:ln/>
                  </pic:spPr>
                </pic:pic>
              </a:graphicData>
            </a:graphic>
          </wp:anchor>
        </w:drawing>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 w:lineRule="auto"/>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505"/>
        </w:tabs>
        <w:spacing w:before="94" w:lineRule="auto"/>
        <w:ind w:left="504" w:hanging="361"/>
        <w:rPr/>
      </w:pPr>
      <w:r w:rsidDel="00000000" w:rsidR="00000000" w:rsidRPr="00000000">
        <w:rPr>
          <w:color w:val="000000"/>
          <w:rtl w:val="0"/>
        </w:rPr>
        <w:t xml:space="preserve">Educación sexual Integral para el nivel inicial. Contenidos y propuestas para las salas.</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85" w:lineRule="auto"/>
        <w:ind w:left="501" w:firstLine="0"/>
        <w:rPr>
          <w:color w:val="000000"/>
        </w:rPr>
      </w:pPr>
      <w:r w:rsidDel="00000000" w:rsidR="00000000" w:rsidRPr="00000000">
        <w:rPr>
          <w:color w:val="000000"/>
          <w:rtl w:val="0"/>
        </w:rPr>
        <w:t xml:space="preserve">Ministerio de Educación de la Nación. Programa Nacional ESI</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tabs>
          <w:tab w:val="left" w:leader="none" w:pos="502"/>
          <w:tab w:val="left" w:leader="none" w:pos="1653"/>
          <w:tab w:val="left" w:leader="none" w:pos="2427"/>
          <w:tab w:val="left" w:leader="none" w:pos="3982"/>
          <w:tab w:val="left" w:leader="none" w:pos="4815"/>
          <w:tab w:val="left" w:leader="none" w:pos="5782"/>
          <w:tab w:val="left" w:leader="none" w:pos="6479"/>
          <w:tab w:val="left" w:leader="none" w:pos="7494"/>
          <w:tab w:val="left" w:leader="none" w:pos="8647"/>
        </w:tabs>
        <w:spacing w:before="129" w:line="309" w:lineRule="auto"/>
        <w:ind w:left="501" w:right="125" w:hanging="360"/>
        <w:rPr/>
      </w:pPr>
      <w:r w:rsidDel="00000000" w:rsidR="00000000" w:rsidRPr="00000000">
        <w:rPr>
          <w:color w:val="000000"/>
          <w:rtl w:val="0"/>
        </w:rPr>
        <w:t xml:space="preserve">Series</w:t>
        <w:tab/>
        <w:t xml:space="preserve">de</w:t>
        <w:tab/>
        <w:t xml:space="preserve">cuadernos</w:t>
        <w:tab/>
        <w:t xml:space="preserve">Esi</w:t>
        <w:tab/>
        <w:t xml:space="preserve">para</w:t>
        <w:tab/>
        <w:t xml:space="preserve">el</w:t>
        <w:tab/>
        <w:t xml:space="preserve">Nivel</w:t>
        <w:tab/>
        <w:t xml:space="preserve">Inicial.</w:t>
        <w:tab/>
        <w:t xml:space="preserve">En: </w:t>
      </w:r>
      <w:hyperlink r:id="rId11">
        <w:r w:rsidDel="00000000" w:rsidR="00000000" w:rsidRPr="00000000">
          <w:rPr>
            <w:color w:val="000000"/>
            <w:rtl w:val="0"/>
          </w:rPr>
          <w:t xml:space="preserve">http://www.me.gov.ar/me_prog/esi/doc/esi_inicial.pdf</w:t>
        </w:r>
      </w:hyperlink>
      <w:r w:rsidDel="00000000" w:rsidR="00000000" w:rsidRPr="00000000">
        <w:rPr>
          <w:rtl w:val="0"/>
        </w:rPr>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tabs>
          <w:tab w:val="left" w:leader="none" w:pos="502"/>
        </w:tabs>
        <w:spacing w:before="62" w:line="312" w:lineRule="auto"/>
        <w:ind w:left="501" w:right="266" w:hanging="360"/>
        <w:rPr/>
      </w:pPr>
      <w:r w:rsidDel="00000000" w:rsidR="00000000" w:rsidRPr="00000000">
        <w:rPr>
          <w:color w:val="000000"/>
          <w:rtl w:val="0"/>
        </w:rPr>
        <w:t xml:space="preserve">Referentes escolares de ESI - Educación Inicial Ministerio de Educación de la Nación 1a ed - Ciudad Autónoma de Buenos Aires -2022</w:t>
      </w:r>
      <w:r w:rsidDel="00000000" w:rsidR="00000000" w:rsidRPr="00000000">
        <w:rPr>
          <w:rtl w:val="0"/>
        </w:rPr>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tabs>
          <w:tab w:val="left" w:leader="none" w:pos="502"/>
        </w:tabs>
        <w:spacing w:before="63" w:line="309" w:lineRule="auto"/>
        <w:ind w:left="501" w:right="126" w:hanging="360"/>
        <w:rPr/>
      </w:pPr>
      <w:r w:rsidDel="00000000" w:rsidR="00000000" w:rsidRPr="00000000">
        <w:rPr>
          <w:color w:val="000000"/>
          <w:rtl w:val="0"/>
        </w:rPr>
        <w:t xml:space="preserve">Pauluzzi, L (1989) ¿qué preguntan los chicos sobre sexo? Educación sexual para padres y docentes. Hommo Sapiens. Rosario</w:t>
      </w:r>
      <w:r w:rsidDel="00000000" w:rsidR="00000000" w:rsidRPr="00000000">
        <w:rPr>
          <w:rtl w:val="0"/>
        </w:rPr>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leader="none" w:pos="502"/>
        </w:tabs>
        <w:spacing w:before="67" w:line="309" w:lineRule="auto"/>
        <w:ind w:left="501" w:right="138" w:hanging="360"/>
        <w:rPr/>
      </w:pPr>
      <w:r w:rsidDel="00000000" w:rsidR="00000000" w:rsidRPr="00000000">
        <w:rPr>
          <w:color w:val="000000"/>
          <w:rtl w:val="0"/>
        </w:rPr>
        <w:t xml:space="preserve">Re, María Inés, Educación sexual. Cómo implementarla en el aula. Manual para padres y maestras. Niños de 0 a 9 años, EDIBA, 2007</w:t>
      </w: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left" w:leader="none" w:pos="502"/>
          <w:tab w:val="left" w:leader="none" w:pos="1704"/>
          <w:tab w:val="left" w:leader="none" w:pos="7501"/>
        </w:tabs>
        <w:spacing w:before="67" w:line="312" w:lineRule="auto"/>
        <w:ind w:left="501" w:right="184" w:hanging="360"/>
        <w:rPr/>
      </w:pPr>
      <w:r w:rsidDel="00000000" w:rsidR="00000000" w:rsidRPr="00000000">
        <w:rPr>
          <w:color w:val="000000"/>
          <w:rtl w:val="0"/>
        </w:rPr>
        <w:t xml:space="preserve">Recursos</w:t>
        <w:tab/>
        <w:t xml:space="preserve">y dispositivos para el trabajo y para la intervención</w:t>
        <w:tab/>
        <w:t xml:space="preserve">de situaciones complejas.</w:t>
      </w: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502"/>
        </w:tabs>
        <w:spacing w:before="62" w:line="309" w:lineRule="auto"/>
        <w:ind w:left="501" w:right="141" w:hanging="360"/>
        <w:rPr/>
      </w:pPr>
      <w:r w:rsidDel="00000000" w:rsidR="00000000" w:rsidRPr="00000000">
        <w:rPr>
          <w:color w:val="000000"/>
          <w:rtl w:val="0"/>
        </w:rPr>
        <w:t xml:space="preserve">Guía federal de orientaciones para la intervención educativa en situaciones complejas de la vida escolar. Buenos Aires, Abril,2014</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505"/>
        </w:tabs>
        <w:spacing w:before="67" w:lineRule="auto"/>
        <w:ind w:left="504" w:hanging="361"/>
        <w:rPr/>
      </w:pPr>
      <w:r w:rsidDel="00000000" w:rsidR="00000000" w:rsidRPr="00000000">
        <w:rPr>
          <w:color w:val="000000"/>
          <w:rtl w:val="0"/>
        </w:rPr>
        <w:t xml:space="preserve">Guía no discriminación -INADI 2012.PDF</w:t>
      </w: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tabs>
          <w:tab w:val="left" w:leader="none" w:pos="505"/>
        </w:tabs>
        <w:spacing w:before="86" w:lineRule="auto"/>
        <w:ind w:left="504" w:hanging="361"/>
        <w:rPr/>
      </w:pPr>
      <w:r w:rsidDel="00000000" w:rsidR="00000000" w:rsidRPr="00000000">
        <w:rPr>
          <w:color w:val="000000"/>
          <w:rtl w:val="0"/>
        </w:rPr>
        <w:t xml:space="preserve">La caja de pablo y Julieta- PDF</w:t>
      </w: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tabs>
          <w:tab w:val="left" w:leader="none" w:pos="502"/>
        </w:tabs>
        <w:spacing w:before="87" w:line="312" w:lineRule="auto"/>
        <w:ind w:left="501" w:right="140" w:hanging="360"/>
        <w:rPr/>
      </w:pPr>
      <w:r w:rsidDel="00000000" w:rsidR="00000000" w:rsidRPr="00000000">
        <w:rPr>
          <w:color w:val="000000"/>
          <w:rtl w:val="0"/>
        </w:rPr>
        <w:t xml:space="preserve">Maltrato Infantil. Orientaciones para actuar desde la escuela. Ministerio de educación de la Nación. Buenos Aires. 2010</w:t>
      </w: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tabs>
          <w:tab w:val="left" w:leader="none" w:pos="505"/>
        </w:tabs>
        <w:spacing w:before="62" w:lineRule="auto"/>
        <w:ind w:left="504" w:hanging="361"/>
        <w:rPr/>
      </w:pPr>
      <w:r w:rsidDel="00000000" w:rsidR="00000000" w:rsidRPr="00000000">
        <w:rPr>
          <w:color w:val="000000"/>
          <w:rtl w:val="0"/>
        </w:rPr>
        <w:t xml:space="preserve">Manual de intervenciones educativas. Pcia. de Santa Fe.</w:t>
      </w:r>
      <w:r w:rsidDel="00000000" w:rsidR="00000000" w:rsidRPr="00000000">
        <w:rPr>
          <w:rtl w:val="0"/>
        </w:rPr>
      </w:r>
    </w:p>
    <w:p w:rsidR="00000000" w:rsidDel="00000000" w:rsidP="00000000" w:rsidRDefault="00000000" w:rsidRPr="00000000" w14:paraId="00000099">
      <w:pPr>
        <w:pStyle w:val="Heading1"/>
        <w:spacing w:before="81" w:lineRule="auto"/>
        <w:ind w:left="785" w:firstLine="0"/>
        <w:rPr/>
      </w:pPr>
      <w:r w:rsidDel="00000000" w:rsidR="00000000" w:rsidRPr="00000000">
        <w:rPr>
          <w:u w:val="single"/>
          <w:rtl w:val="0"/>
        </w:rPr>
        <w:t xml:space="preserve">Recursos Audiovisuales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269875</wp:posOffset>
            </wp:positionH>
            <wp:positionV relativeFrom="paragraph">
              <wp:posOffset>75073</wp:posOffset>
            </wp:positionV>
            <wp:extent cx="117475" cy="109049"/>
            <wp:effectExtent b="0" l="0" r="0" t="0"/>
            <wp:wrapNone/>
            <wp:docPr descr="*" id="6" name="image4.png"/>
            <a:graphic>
              <a:graphicData uri="http://schemas.openxmlformats.org/drawingml/2006/picture">
                <pic:pic>
                  <pic:nvPicPr>
                    <pic:cNvPr descr="*" id="0" name="image4.png"/>
                    <pic:cNvPicPr preferRelativeResize="0"/>
                  </pic:nvPicPr>
                  <pic:blipFill>
                    <a:blip r:embed="rId9"/>
                    <a:srcRect b="0" l="0" r="0" t="0"/>
                    <a:stretch>
                      <a:fillRect/>
                    </a:stretch>
                  </pic:blipFill>
                  <pic:spPr>
                    <a:xfrm>
                      <a:off x="0" y="0"/>
                      <a:ext cx="117475" cy="109049"/>
                    </a:xfrm>
                    <a:prstGeom prst="rect"/>
                    <a:ln/>
                  </pic:spPr>
                </pic:pic>
              </a:graphicData>
            </a:graphic>
          </wp:anchor>
        </w:drawing>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tabs>
          <w:tab w:val="left" w:leader="none" w:pos="502"/>
        </w:tabs>
        <w:spacing w:before="135" w:line="333" w:lineRule="auto"/>
        <w:ind w:left="501" w:right="106" w:hanging="360"/>
        <w:jc w:val="both"/>
        <w:rPr/>
      </w:pPr>
      <w:r w:rsidDel="00000000" w:rsidR="00000000" w:rsidRPr="00000000">
        <w:rPr>
          <w:color w:val="000000"/>
          <w:rtl w:val="0"/>
        </w:rPr>
        <w:t xml:space="preserve">Volnovich, J. C. Como educar a un niño sin reproducir el patriarcado. Entrevista en Infobae : https:/</w:t>
      </w:r>
      <w:hyperlink r:id="rId12">
        <w:r w:rsidDel="00000000" w:rsidR="00000000" w:rsidRPr="00000000">
          <w:rPr>
            <w:color w:val="000000"/>
            <w:rtl w:val="0"/>
          </w:rPr>
          <w:t xml:space="preserve">/www.infobae.com/sociedad/2018/03/12/como-educar-a-un-hijo-sin-</w:t>
        </w:r>
      </w:hyperlink>
      <w:r w:rsidDel="00000000" w:rsidR="00000000" w:rsidRPr="00000000">
        <w:rPr>
          <w:color w:val="000000"/>
          <w:rtl w:val="0"/>
        </w:rPr>
        <w:t xml:space="preserve"> reproducir-el-patriarcado/</w:t>
      </w: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tabs>
          <w:tab w:val="left" w:leader="none" w:pos="505"/>
        </w:tabs>
        <w:spacing w:before="43" w:lineRule="auto"/>
        <w:ind w:left="504" w:hanging="361"/>
        <w:rPr/>
      </w:pPr>
      <w:r w:rsidDel="00000000" w:rsidR="00000000" w:rsidRPr="00000000">
        <w:rPr>
          <w:color w:val="000000"/>
          <w:rtl w:val="0"/>
        </w:rPr>
        <w:t xml:space="preserve">Eva Giberti y el abuso sexual infantil. Entrevista Educ.ar- 15-08-2017</w:t>
      </w:r>
      <w:r w:rsidDel="00000000" w:rsidR="00000000" w:rsidRPr="00000000">
        <w:rPr>
          <w:rtl w:val="0"/>
        </w:rPr>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tabs>
          <w:tab w:val="left" w:leader="none" w:pos="505"/>
        </w:tabs>
        <w:spacing w:before="87" w:lineRule="auto"/>
        <w:ind w:left="504" w:hanging="361"/>
        <w:rPr/>
      </w:pPr>
      <w:r w:rsidDel="00000000" w:rsidR="00000000" w:rsidRPr="00000000">
        <w:rPr>
          <w:color w:val="000000"/>
          <w:rtl w:val="0"/>
        </w:rPr>
        <w:t xml:space="preserve">¿Qué piensan los que no piensan como yo? Modelos de Familia. Canal encuentro</w:t>
      </w: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Adiós cigüeña adiós</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tabs>
          <w:tab w:val="left" w:leader="none" w:pos="505"/>
        </w:tabs>
        <w:spacing w:before="87" w:lineRule="auto"/>
        <w:ind w:left="504" w:hanging="361"/>
        <w:rPr/>
      </w:pPr>
      <w:r w:rsidDel="00000000" w:rsidR="00000000" w:rsidRPr="00000000">
        <w:rPr>
          <w:color w:val="000000"/>
          <w:rtl w:val="0"/>
        </w:rPr>
        <w:t xml:space="preserve">El niño es nuestro.</w:t>
      </w: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Flor de otoño.</w:t>
      </w: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Vestido nuevo</w:t>
      </w: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tabs>
          <w:tab w:val="left" w:leader="none" w:pos="505"/>
        </w:tabs>
        <w:spacing w:before="89" w:lineRule="auto"/>
        <w:ind w:left="504" w:hanging="361"/>
        <w:rPr/>
      </w:pPr>
      <w:r w:rsidDel="00000000" w:rsidR="00000000" w:rsidRPr="00000000">
        <w:rPr>
          <w:color w:val="000000"/>
          <w:rtl w:val="0"/>
        </w:rPr>
        <w:t xml:space="preserve">¿Qué es ser virgen?</w:t>
      </w: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sectPr>
          <w:type w:val="nextPage"/>
          <w:pgSz w:h="15840" w:w="12240" w:orient="portrait"/>
          <w:pgMar w:bottom="1180" w:top="2820" w:left="1560" w:right="1580" w:header="700" w:footer="993"/>
        </w:sectPr>
      </w:pPr>
      <w:r w:rsidDel="00000000" w:rsidR="00000000" w:rsidRPr="00000000">
        <w:rPr>
          <w:color w:val="000000"/>
          <w:rtl w:val="0"/>
        </w:rPr>
        <w:t xml:space="preserve">“La teta y la luna”</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89" w:lineRule="auto"/>
        <w:ind w:left="113" w:firstLine="0"/>
        <w:rPr>
          <w:color w:val="000000"/>
          <w:sz w:val="8"/>
          <w:szCs w:val="8"/>
        </w:rPr>
      </w:pPr>
      <w:r w:rsidDel="00000000" w:rsidR="00000000" w:rsidRPr="00000000">
        <w:rPr>
          <w:color w:val="000000"/>
          <w:sz w:val="8"/>
          <w:szCs w:val="8"/>
        </w:rPr>
        <mc:AlternateContent>
          <mc:Choice Requires="wps">
            <w:drawing>
              <wp:inline distB="0" distT="0" distL="114300" distR="114300">
                <wp:extent cx="5648960" cy="56514"/>
                <wp:effectExtent b="0" l="0" r="0" t="0"/>
                <wp:docPr id="4" name=""/>
                <a:graphic>
                  <a:graphicData uri="http://schemas.microsoft.com/office/word/2010/wordprocessingGroup">
                    <wpg:wgp>
                      <wpg:cNvGrpSpPr/>
                      <wpg:grpSpPr>
                        <a:xfrm>
                          <a:off x="0" y="0"/>
                          <a:ext cx="5648960" cy="56514"/>
                          <a:chOff x="2521500" y="3751725"/>
                          <a:chExt cx="5649000" cy="56550"/>
                        </a:xfrm>
                      </wpg:grpSpPr>
                      <wpg:grpSp>
                        <wpg:cNvGrpSpPr/>
                        <wpg:cNvPr id="2" name="Grupo 2"/>
                        <wpg:grpSpPr>
                          <a:xfrm>
                            <a:off x="2521520" y="3751743"/>
                            <a:ext cx="5648960" cy="56514"/>
                            <a:chOff x="0" y="0"/>
                            <a:chExt cx="5648960" cy="56514"/>
                          </a:xfrm>
                        </wpg:grpSpPr>
                        <wps:wsp>
                          <wps:cNvSpPr/>
                          <wps:cNvPr id="3" name="Rectángulo 3"/>
                          <wps:spPr>
                            <a:xfrm>
                              <a:off x="0" y="0"/>
                              <a:ext cx="5648950" cy="56500"/>
                            </a:xfrm>
                            <a:prstGeom prst="rect">
                              <a:avLst/>
                            </a:prstGeom>
                            <a:noFill/>
                            <a:ln>
                              <a:noFill/>
                            </a:ln>
                          </wps:spPr>
                          <wps:txbx>
                            <w:txbxContent>
                              <w:p w:rsidR="00B776F4" w:rsidDel="00000000" w:rsidP="00000000" w:rsidRDefault="00B776F4" w:rsidRPr="00000000">
                                <w:pPr>
                                  <w:textDirection w:val="btLr"/>
                                </w:pPr>
                              </w:p>
                            </w:txbxContent>
                          </wps:txbx>
                          <wps:bodyPr anchorCtr="0" anchor="ctr" bIns="91425" lIns="91425" spcFirstLastPara="1" rIns="91425" wrap="square" tIns="91425">
                            <a:noAutofit/>
                          </wps:bodyPr>
                        </wps:wsp>
                        <wps:wsp>
                          <wps:cNvSpPr/>
                          <wps:cNvPr id="4" name="Forma libre 4"/>
                          <wps:spPr>
                            <a:xfrm>
                              <a:off x="0" y="0"/>
                              <a:ext cx="5648960" cy="56514"/>
                            </a:xfrm>
                            <a:custGeom>
                              <a:avLst/>
                              <a:gdLst/>
                              <a:ahLst/>
                              <a:cxnLst/>
                              <a:rect b="b" l="l" r="r" t="t"/>
                              <a:pathLst>
                                <a:path extrusionOk="0" h="56514" w="5648960">
                                  <a:moveTo>
                                    <a:pt x="5648960" y="18414"/>
                                  </a:moveTo>
                                  <a:lnTo>
                                    <a:pt x="0" y="18414"/>
                                  </a:lnTo>
                                  <a:lnTo>
                                    <a:pt x="0" y="56514"/>
                                  </a:lnTo>
                                  <a:lnTo>
                                    <a:pt x="5648960" y="56514"/>
                                  </a:lnTo>
                                  <a:lnTo>
                                    <a:pt x="5648960" y="18414"/>
                                  </a:lnTo>
                                  <a:close/>
                                  <a:moveTo>
                                    <a:pt x="5648960" y="0"/>
                                  </a:moveTo>
                                  <a:lnTo>
                                    <a:pt x="0" y="0"/>
                                  </a:lnTo>
                                  <a:lnTo>
                                    <a:pt x="0" y="8889"/>
                                  </a:lnTo>
                                  <a:lnTo>
                                    <a:pt x="5648960" y="8889"/>
                                  </a:lnTo>
                                  <a:lnTo>
                                    <a:pt x="5648960" y="0"/>
                                  </a:lnTo>
                                  <a:close/>
                                </a:path>
                              </a:pathLst>
                            </a:custGeom>
                            <a:solidFill>
                              <a:srgbClr val="602221"/>
                            </a:solidFill>
                            <a:ln>
                              <a:noFill/>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648960" cy="56514"/>
                <wp:effectExtent b="0" l="0" r="0" t="0"/>
                <wp:docPr id="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648960" cy="565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tabs>
          <w:tab w:val="left" w:leader="none" w:pos="505"/>
        </w:tabs>
        <w:spacing w:before="10" w:lineRule="auto"/>
        <w:ind w:left="504" w:hanging="361"/>
        <w:rPr/>
        <w:sectPr>
          <w:headerReference r:id="rId14" w:type="default"/>
          <w:footerReference r:id="rId15" w:type="default"/>
          <w:type w:val="nextPage"/>
          <w:pgSz w:h="15840" w:w="12240" w:orient="portrait"/>
          <w:pgMar w:bottom="1180" w:top="2700" w:left="1560" w:right="1580" w:header="700" w:footer="993"/>
        </w:sectPr>
      </w:pPr>
      <w:r w:rsidDel="00000000" w:rsidR="00000000" w:rsidRPr="00000000">
        <w:rPr>
          <w:color w:val="000000"/>
          <w:rtl w:val="0"/>
        </w:rPr>
        <w:t xml:space="preserve">“Billy Eliot”</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 w:lineRule="auto"/>
        <w:rPr>
          <w:color w:val="000000"/>
          <w:sz w:val="14"/>
          <w:szCs w:val="14"/>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tabs>
          <w:tab w:val="left" w:leader="none" w:pos="505"/>
        </w:tabs>
        <w:spacing w:before="94" w:lineRule="auto"/>
        <w:ind w:left="504" w:hanging="361"/>
        <w:rPr/>
      </w:pPr>
      <w:r w:rsidDel="00000000" w:rsidR="00000000" w:rsidRPr="00000000">
        <w:rPr>
          <w:color w:val="000000"/>
          <w:rtl w:val="0"/>
        </w:rPr>
        <w:t xml:space="preserve">Cenicienta_no_quiere_comer_perdices.pdf</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rPr/>
      </w:pPr>
      <w:r w:rsidDel="00000000" w:rsidR="00000000" w:rsidRPr="00000000">
        <w:rPr>
          <w:color w:val="000000"/>
          <w:rtl w:val="0"/>
        </w:rPr>
        <w:t xml:space="preserve">“Clase de sexualidad para niños”</w:t>
      </w: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Educación sexual integral en el nivel inicial</w:t>
      </w:r>
      <w:r w:rsidDel="00000000" w:rsidR="00000000" w:rsidRPr="00000000">
        <w:rPr>
          <w:rtl w:val="0"/>
        </w:rPr>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tabs>
          <w:tab w:val="left" w:leader="none" w:pos="505"/>
        </w:tabs>
        <w:spacing w:before="87" w:lineRule="auto"/>
        <w:ind w:left="504" w:hanging="361"/>
        <w:rPr/>
      </w:pPr>
      <w:r w:rsidDel="00000000" w:rsidR="00000000" w:rsidRPr="00000000">
        <w:rPr>
          <w:color w:val="000000"/>
          <w:rtl w:val="0"/>
        </w:rPr>
        <w:t xml:space="preserve">Mummies and puppies- 2008</w:t>
      </w: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“Decir que si- decir que no” Prevención de abusos sexuales</w:t>
      </w: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“Los niños aprenden lo que ven”</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tabs>
          <w:tab w:val="left" w:leader="none" w:pos="505"/>
        </w:tabs>
        <w:spacing w:before="88" w:line="312" w:lineRule="auto"/>
        <w:ind w:left="785" w:right="3589" w:hanging="644"/>
        <w:rPr/>
      </w:pPr>
      <w:r w:rsidDel="00000000" w:rsidR="00000000" w:rsidRPr="00000000">
        <w:rPr>
          <w:color w:val="000000"/>
          <w:rtl w:val="0"/>
        </w:rPr>
        <w:t xml:space="preserve">Jorge Volnovich. Abuso y maltrato en la infancia. https:/</w:t>
      </w:r>
      <w:hyperlink r:id="rId16">
        <w:r w:rsidDel="00000000" w:rsidR="00000000" w:rsidRPr="00000000">
          <w:rPr>
            <w:color w:val="000000"/>
            <w:rtl w:val="0"/>
          </w:rPr>
          <w:t xml:space="preserve">/www.youtube.com/watch?v=lPblMvHun6g</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269875</wp:posOffset>
            </wp:positionH>
            <wp:positionV relativeFrom="paragraph">
              <wp:posOffset>319165</wp:posOffset>
            </wp:positionV>
            <wp:extent cx="117475" cy="109049"/>
            <wp:effectExtent b="0" l="0" r="0" t="0"/>
            <wp:wrapNone/>
            <wp:docPr id="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7475" cy="109049"/>
                    </a:xfrm>
                    <a:prstGeom prst="rect"/>
                    <a:ln/>
                  </pic:spPr>
                </pic:pic>
              </a:graphicData>
            </a:graphic>
          </wp:anchor>
        </w:drawing>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tabs>
          <w:tab w:val="left" w:leader="none" w:pos="505"/>
        </w:tabs>
        <w:spacing w:before="62" w:line="312" w:lineRule="auto"/>
        <w:ind w:left="785" w:right="457" w:hanging="644"/>
        <w:rPr/>
      </w:pPr>
      <w:r w:rsidDel="00000000" w:rsidR="00000000" w:rsidRPr="00000000">
        <w:rPr>
          <w:color w:val="000000"/>
          <w:rtl w:val="0"/>
        </w:rPr>
        <w:t xml:space="preserve">Iguales y diferentes. Pakapaka canal encuentro. </w:t>
      </w:r>
      <w:hyperlink r:id="rId17">
        <w:r w:rsidDel="00000000" w:rsidR="00000000" w:rsidRPr="00000000">
          <w:rPr>
            <w:color w:val="000000"/>
            <w:rtl w:val="0"/>
          </w:rPr>
          <w:t xml:space="preserve">http://www.conectate.gob.ar/sitios/conectate/busqueda/pakapaka?rec_id=121778</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269875</wp:posOffset>
            </wp:positionH>
            <wp:positionV relativeFrom="paragraph">
              <wp:posOffset>303206</wp:posOffset>
            </wp:positionV>
            <wp:extent cx="117475" cy="109642"/>
            <wp:effectExtent b="0" l="0" r="0" t="0"/>
            <wp:wrapNone/>
            <wp:docPr id="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7475" cy="109642"/>
                    </a:xfrm>
                    <a:prstGeom prst="rect"/>
                    <a:ln/>
                  </pic:spPr>
                </pic:pic>
              </a:graphicData>
            </a:graphic>
          </wp:anchor>
        </w:drawing>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tabs>
          <w:tab w:val="left" w:leader="none" w:pos="505"/>
          <w:tab w:val="left" w:leader="none" w:pos="8310"/>
        </w:tabs>
        <w:spacing w:before="64" w:lineRule="auto"/>
        <w:ind w:left="504" w:hanging="361"/>
        <w:rPr/>
      </w:pPr>
      <w:r w:rsidDel="00000000" w:rsidR="00000000" w:rsidRPr="00000000">
        <w:rPr>
          <w:color w:val="000000"/>
          <w:rtl w:val="0"/>
        </w:rPr>
        <w:t xml:space="preserve">Nuestro</w:t>
        <w:tab/>
        <w:t xml:space="preserve">cuerpo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85" w:lineRule="auto"/>
        <w:ind w:left="501" w:firstLine="0"/>
        <w:rPr>
          <w:color w:val="000000"/>
        </w:rPr>
      </w:pPr>
      <w:r w:rsidDel="00000000" w:rsidR="00000000" w:rsidRPr="00000000">
        <w:rPr>
          <w:color w:val="000000"/>
          <w:rtl w:val="0"/>
        </w:rPr>
        <w:t xml:space="preserve">https:/</w:t>
      </w:r>
      <w:hyperlink r:id="rId18">
        <w:r w:rsidDel="00000000" w:rsidR="00000000" w:rsidRPr="00000000">
          <w:rPr>
            <w:color w:val="000000"/>
            <w:rtl w:val="0"/>
          </w:rPr>
          <w:t xml:space="preserve">/www.youtube.com/watch?v=dfmb9gN5E4U&amp;list=RDdfmb9gN5E4U#t=23</w:t>
        </w:r>
      </w:hyperlink>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tabs>
          <w:tab w:val="left" w:leader="none" w:pos="505"/>
        </w:tabs>
        <w:spacing w:before="129" w:lineRule="auto"/>
        <w:ind w:left="504" w:hanging="361"/>
        <w:rPr/>
      </w:pPr>
      <w:r w:rsidDel="00000000" w:rsidR="00000000" w:rsidRPr="00000000">
        <w:rPr>
          <w:color w:val="000000"/>
          <w:rtl w:val="0"/>
        </w:rPr>
        <w:t xml:space="preserve">Andaluna Y Samir. Junta de Andalucía</w:t>
      </w:r>
      <w:r w:rsidDel="00000000" w:rsidR="00000000" w:rsidRPr="00000000">
        <w:rPr>
          <w:rtl w:val="0"/>
        </w:rPr>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tabs>
          <w:tab w:val="left" w:leader="none" w:pos="505"/>
          <w:tab w:val="left" w:leader="none" w:pos="8358"/>
        </w:tabs>
        <w:spacing w:before="85" w:lineRule="auto"/>
        <w:ind w:left="504" w:hanging="361"/>
        <w:rPr/>
      </w:pPr>
      <w:r w:rsidDel="00000000" w:rsidR="00000000" w:rsidRPr="00000000">
        <w:rPr>
          <w:color w:val="000000"/>
          <w:rtl w:val="0"/>
        </w:rPr>
        <w:t xml:space="preserve">Uruguay</w:t>
        <w:tab/>
        <w:t xml:space="preserve">Educa</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91" w:line="360" w:lineRule="auto"/>
        <w:ind w:left="501" w:right="289" w:firstLine="0"/>
        <w:rPr>
          <w:color w:val="000000"/>
        </w:rPr>
      </w:pPr>
      <w:hyperlink r:id="rId19">
        <w:r w:rsidDel="00000000" w:rsidR="00000000" w:rsidRPr="00000000">
          <w:rPr>
            <w:color w:val="000000"/>
            <w:rtl w:val="0"/>
          </w:rPr>
          <w:t xml:space="preserve">http://www.uruguayeduca.edu.uy/Portal.Base/Web/VerContenido.aspx?GUID=009a37</w:t>
        </w:r>
      </w:hyperlink>
      <w:r w:rsidDel="00000000" w:rsidR="00000000" w:rsidRPr="00000000">
        <w:rPr>
          <w:color w:val="000000"/>
          <w:rtl w:val="0"/>
        </w:rPr>
        <w:t xml:space="preserve"> 82-a826-4b51-990c-bc9d7601962f&amp;ID=217473</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tabs>
          <w:tab w:val="left" w:leader="none" w:pos="502"/>
        </w:tabs>
        <w:spacing w:line="309" w:lineRule="auto"/>
        <w:ind w:left="501" w:right="139" w:hanging="360"/>
        <w:rPr/>
      </w:pPr>
      <w:r w:rsidDel="00000000" w:rsidR="00000000" w:rsidRPr="00000000">
        <w:rPr>
          <w:color w:val="000000"/>
          <w:rtl w:val="0"/>
        </w:rPr>
        <w:t xml:space="preserve">Oliver Button es una nena (video), Guía de lectura de Oliver Button es una nena (texto),</w:t>
      </w: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tabs>
          <w:tab w:val="left" w:leader="none" w:pos="505"/>
        </w:tabs>
        <w:spacing w:before="66" w:lineRule="auto"/>
        <w:ind w:left="504" w:hanging="361"/>
        <w:rPr/>
      </w:pPr>
      <w:r w:rsidDel="00000000" w:rsidR="00000000" w:rsidRPr="00000000">
        <w:rPr>
          <w:color w:val="000000"/>
          <w:rtl w:val="0"/>
        </w:rPr>
        <w:t xml:space="preserve">Educación en la sexualidad. Parte 1 (red de recursos educativos digitales)</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tabs>
          <w:tab w:val="left" w:leader="none" w:pos="505"/>
        </w:tabs>
        <w:spacing w:before="85" w:lineRule="auto"/>
        <w:ind w:left="504" w:hanging="361"/>
        <w:rPr/>
      </w:pPr>
      <w:r w:rsidDel="00000000" w:rsidR="00000000" w:rsidRPr="00000000">
        <w:rPr>
          <w:color w:val="000000"/>
          <w:rtl w:val="0"/>
        </w:rPr>
        <w:t xml:space="preserve">Educación en la sexualidad. Parte 2 (red de recursos educativos digitales)</w:t>
      </w: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tabs>
          <w:tab w:val="left" w:leader="none" w:pos="505"/>
        </w:tabs>
        <w:spacing w:before="88" w:lineRule="auto"/>
        <w:ind w:left="504" w:hanging="361"/>
        <w:rPr/>
      </w:pPr>
      <w:r w:rsidDel="00000000" w:rsidR="00000000" w:rsidRPr="00000000">
        <w:rPr>
          <w:color w:val="000000"/>
          <w:rtl w:val="0"/>
        </w:rPr>
        <w:t xml:space="preserve">tríptico chicos.doc</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tabs>
          <w:tab w:val="left" w:leader="none" w:pos="505"/>
        </w:tabs>
        <w:spacing w:before="87" w:lineRule="auto"/>
        <w:ind w:left="504" w:hanging="361"/>
        <w:rPr/>
      </w:pPr>
      <w:r w:rsidDel="00000000" w:rsidR="00000000" w:rsidRPr="00000000">
        <w:rPr>
          <w:color w:val="000000"/>
          <w:rtl w:val="0"/>
        </w:rPr>
        <w:t xml:space="preserve">tríptico docentes.doc</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tabs>
          <w:tab w:val="left" w:leader="none" w:pos="505"/>
        </w:tabs>
        <w:spacing w:before="90" w:lineRule="auto"/>
        <w:ind w:left="504" w:hanging="361"/>
        <w:rPr/>
        <w:sectPr>
          <w:headerReference r:id="rId20" w:type="default"/>
          <w:footerReference r:id="rId21" w:type="default"/>
          <w:type w:val="nextPage"/>
          <w:pgSz w:h="15840" w:w="12240" w:orient="portrait"/>
          <w:pgMar w:bottom="1180" w:top="2820" w:left="1560" w:right="1580" w:header="700" w:footer="993"/>
        </w:sectPr>
      </w:pPr>
      <w:r w:rsidDel="00000000" w:rsidR="00000000" w:rsidRPr="00000000">
        <w:rPr>
          <w:color w:val="000000"/>
          <w:rtl w:val="0"/>
        </w:rPr>
        <w:t xml:space="preserve">tríptico familias.doc</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4" w:lineRule="auto"/>
        <w:rPr>
          <w:color w:val="000000"/>
          <w:sz w:val="17"/>
          <w:szCs w:val="17"/>
        </w:rPr>
      </w:pPr>
      <w:r w:rsidDel="00000000" w:rsidR="00000000" w:rsidRPr="00000000">
        <w:rPr>
          <w:rtl w:val="0"/>
        </w:rPr>
      </w:r>
    </w:p>
    <w:sectPr>
      <w:type w:val="nextPage"/>
      <w:pgSz w:h="15840" w:w="12240" w:orient="portrait"/>
      <w:pgMar w:bottom="1180" w:top="2820" w:left="1560" w:right="1580" w:header="700" w:footer="9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CA">
    <w:pPr>
      <w:spacing w:line="245" w:lineRule="auto"/>
      <w:ind w:left="60" w:firstLine="0"/>
      <w:rPr>
        <w:rFonts w:ascii="Calibri" w:cs="Calibri" w:eastAsia="Calibri" w:hAnsi="Calibri"/>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CC">
    <w:pPr>
      <w:spacing w:line="245" w:lineRule="auto"/>
      <w:ind w:left="60" w:firstLine="0"/>
      <w:rPr>
        <w:rFonts w:ascii="Calibri" w:cs="Calibri" w:eastAsia="Calibri" w:hAnsi="Calibri"/>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CE">
    <w:pPr>
      <w:spacing w:line="245" w:lineRule="auto"/>
      <w:ind w:left="60" w:firstLine="0"/>
      <w:rPr>
        <w:rFonts w:ascii="Calibri" w:cs="Calibri" w:eastAsia="Calibri" w:hAnsi="Calibri"/>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mc:AlternateContent>
        <mc:Choice Requires="wps">
          <w:drawing>
            <wp:anchor allowOverlap="1" behindDoc="1" distB="0" distT="0" distL="0" distR="0" hidden="0" layoutInCell="1" locked="0" relativeHeight="0" simplePos="0">
              <wp:simplePos x="0" y="0"/>
              <wp:positionH relativeFrom="page">
                <wp:posOffset>1057593</wp:posOffset>
              </wp:positionH>
              <wp:positionV relativeFrom="page">
                <wp:posOffset>1734503</wp:posOffset>
              </wp:positionV>
              <wp:extent cx="5648960" cy="56514"/>
              <wp:effectExtent b="0" l="0" r="0" t="0"/>
              <wp:wrapNone/>
              <wp:docPr id="1" name=""/>
              <a:graphic>
                <a:graphicData uri="http://schemas.microsoft.com/office/word/2010/wordprocessingShape">
                  <wps:wsp>
                    <wps:cNvSpPr/>
                    <wps:spPr>
                      <a:xfrm>
                        <a:off x="0" y="0"/>
                        <a:ext cx="5648960" cy="56514"/>
                      </a:xfrm>
                      <a:custGeom>
                        <a:avLst/>
                        <a:gdLst/>
                        <a:ahLst/>
                        <a:cxnLst/>
                        <a:rect b="b" l="l" r="r" t="t"/>
                        <a:pathLst>
                          <a:path extrusionOk="0" h="56514" w="5648960">
                            <a:moveTo>
                              <a:pt x="5648960" y="18414"/>
                            </a:moveTo>
                            <a:lnTo>
                              <a:pt x="0" y="18414"/>
                            </a:lnTo>
                            <a:lnTo>
                              <a:pt x="0" y="56514"/>
                            </a:lnTo>
                            <a:lnTo>
                              <a:pt x="5648960" y="56514"/>
                            </a:lnTo>
                            <a:lnTo>
                              <a:pt x="5648960" y="18414"/>
                            </a:lnTo>
                            <a:close/>
                            <a:moveTo>
                              <a:pt x="5648960" y="0"/>
                            </a:moveTo>
                            <a:lnTo>
                              <a:pt x="0" y="0"/>
                            </a:lnTo>
                            <a:lnTo>
                              <a:pt x="0" y="8889"/>
                            </a:lnTo>
                            <a:lnTo>
                              <a:pt x="5648960" y="8889"/>
                            </a:lnTo>
                            <a:lnTo>
                              <a:pt x="5648960" y="0"/>
                            </a:lnTo>
                            <a:close/>
                          </a:path>
                        </a:pathLst>
                      </a:custGeom>
                      <a:solidFill>
                        <a:srgbClr val="60222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1057593</wp:posOffset>
              </wp:positionH>
              <wp:positionV relativeFrom="page">
                <wp:posOffset>1734503</wp:posOffset>
              </wp:positionV>
              <wp:extent cx="5648960" cy="5651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48960" cy="5651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B">
    <w:pPr>
      <w:spacing w:before="13" w:lineRule="auto"/>
      <w:ind w:left="20" w:firstLine="0"/>
      <w:rPr/>
    </w:pPr>
    <w:r w:rsidDel="00000000" w:rsidR="00000000" w:rsidRPr="00000000">
      <w:rPr>
        <w:rtl w:val="0"/>
      </w:rPr>
      <w:t xml:space="preserve">Instituto Superior del Profesorado Nro. 7 “Brigadier Estanislao López” Profesorado de Nivel Inicial</w:t>
    </w:r>
  </w:p>
  <w:p w:rsidR="00000000" w:rsidDel="00000000" w:rsidP="00000000" w:rsidRDefault="00000000" w:rsidRPr="00000000" w14:paraId="000000BC">
    <w:pPr>
      <w:spacing w:before="1" w:lineRule="auto"/>
      <w:ind w:left="20" w:right="1642" w:firstLine="0"/>
      <w:rPr/>
    </w:pPr>
    <w:r w:rsidDel="00000000" w:rsidR="00000000" w:rsidRPr="00000000">
      <w:rPr>
        <w:rtl w:val="0"/>
      </w:rPr>
      <w:t xml:space="preserve">Unidad Curricular: Sexualidad Humana y Educación Curso: Cuarto año</w:t>
    </w:r>
  </w:p>
  <w:p w:rsidR="00000000" w:rsidDel="00000000" w:rsidP="00000000" w:rsidRDefault="00000000" w:rsidRPr="00000000" w14:paraId="000000BD">
    <w:pPr>
      <w:spacing w:before="1" w:lineRule="auto"/>
      <w:ind w:left="20" w:right="3298" w:firstLine="0"/>
      <w:rPr/>
    </w:pPr>
    <w:r w:rsidDel="00000000" w:rsidR="00000000" w:rsidRPr="00000000">
      <w:rPr>
        <w:rtl w:val="0"/>
      </w:rPr>
      <w:t xml:space="preserve">Régimen de cursado: cuatrimestral Formato curricular: Seminario Año: 2025</w:t>
    </w:r>
  </w:p>
  <w:p w:rsidR="00000000" w:rsidDel="00000000" w:rsidP="00000000" w:rsidRDefault="00000000" w:rsidRPr="00000000" w14:paraId="000000BE">
    <w:pPr>
      <w:spacing w:line="250" w:lineRule="auto"/>
      <w:ind w:left="20" w:firstLine="0"/>
      <w:rPr/>
    </w:pPr>
    <w:r w:rsidDel="00000000" w:rsidR="00000000" w:rsidRPr="00000000">
      <w:rPr>
        <w:rtl w:val="0"/>
      </w:rPr>
      <w:t xml:space="preserve">Profesora: Marcela Kowszyk</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C0">
    <w:pPr>
      <w:spacing w:before="13" w:lineRule="auto"/>
      <w:ind w:left="20" w:firstLine="0"/>
      <w:rPr/>
    </w:pPr>
    <w:r w:rsidDel="00000000" w:rsidR="00000000" w:rsidRPr="00000000">
      <w:rPr>
        <w:rtl w:val="0"/>
      </w:rPr>
      <w:t xml:space="preserve">Instituto Superior del Profesorado Nro. 7 “Brigadier Estanislao López” Profesorado de Nivel Inicial</w:t>
    </w:r>
  </w:p>
  <w:p w:rsidR="00000000" w:rsidDel="00000000" w:rsidP="00000000" w:rsidRDefault="00000000" w:rsidRPr="00000000" w14:paraId="000000C1">
    <w:pPr>
      <w:spacing w:before="1" w:lineRule="auto"/>
      <w:ind w:left="20" w:right="1642" w:firstLine="0"/>
      <w:rPr/>
    </w:pPr>
    <w:r w:rsidDel="00000000" w:rsidR="00000000" w:rsidRPr="00000000">
      <w:rPr>
        <w:rtl w:val="0"/>
      </w:rPr>
      <w:t xml:space="preserve">Unidad Curricular: Sexualidad Humana y Educación Curso: Cuarto año</w:t>
    </w:r>
  </w:p>
  <w:p w:rsidR="00000000" w:rsidDel="00000000" w:rsidP="00000000" w:rsidRDefault="00000000" w:rsidRPr="00000000" w14:paraId="000000C2">
    <w:pPr>
      <w:spacing w:before="1" w:lineRule="auto"/>
      <w:ind w:left="20" w:right="3298" w:firstLine="0"/>
      <w:rPr/>
    </w:pPr>
    <w:r w:rsidDel="00000000" w:rsidR="00000000" w:rsidRPr="00000000">
      <w:rPr>
        <w:rtl w:val="0"/>
      </w:rPr>
      <w:t xml:space="preserve">Régimen de cursado: cuatrimestral Formato curricular: Seminario Año: 2022</w:t>
    </w:r>
  </w:p>
  <w:p w:rsidR="00000000" w:rsidDel="00000000" w:rsidP="00000000" w:rsidRDefault="00000000" w:rsidRPr="00000000" w14:paraId="000000C3">
    <w:pPr>
      <w:spacing w:line="250" w:lineRule="auto"/>
      <w:ind w:left="20" w:firstLine="0"/>
      <w:rPr/>
    </w:pPr>
    <w:r w:rsidDel="00000000" w:rsidR="00000000" w:rsidRPr="00000000">
      <w:rPr>
        <w:rtl w:val="0"/>
      </w:rPr>
      <w:t xml:space="preserve">Profesora: Fabiana Romagnoni</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mc:AlternateContent>
        <mc:Choice Requires="wps">
          <w:drawing>
            <wp:anchor allowOverlap="1" behindDoc="1" distB="0" distT="0" distL="0" distR="0" hidden="0" layoutInCell="1" locked="0" relativeHeight="0" simplePos="0">
              <wp:simplePos x="0" y="0"/>
              <wp:positionH relativeFrom="page">
                <wp:posOffset>1057593</wp:posOffset>
              </wp:positionH>
              <wp:positionV relativeFrom="page">
                <wp:posOffset>1734503</wp:posOffset>
              </wp:positionV>
              <wp:extent cx="5648960" cy="56514"/>
              <wp:effectExtent b="0" l="0" r="0" t="0"/>
              <wp:wrapNone/>
              <wp:docPr id="2" name=""/>
              <a:graphic>
                <a:graphicData uri="http://schemas.microsoft.com/office/word/2010/wordprocessingShape">
                  <wps:wsp>
                    <wps:cNvSpPr/>
                    <wps:spPr>
                      <a:xfrm>
                        <a:off x="0" y="0"/>
                        <a:ext cx="5648960" cy="56514"/>
                      </a:xfrm>
                      <a:custGeom>
                        <a:avLst/>
                        <a:gdLst/>
                        <a:ahLst/>
                        <a:cxnLst/>
                        <a:rect b="b" l="l" r="r" t="t"/>
                        <a:pathLst>
                          <a:path extrusionOk="0" h="56514" w="5648960">
                            <a:moveTo>
                              <a:pt x="5648960" y="18414"/>
                            </a:moveTo>
                            <a:lnTo>
                              <a:pt x="0" y="18414"/>
                            </a:lnTo>
                            <a:lnTo>
                              <a:pt x="0" y="56514"/>
                            </a:lnTo>
                            <a:lnTo>
                              <a:pt x="5648960" y="56514"/>
                            </a:lnTo>
                            <a:lnTo>
                              <a:pt x="5648960" y="18414"/>
                            </a:lnTo>
                            <a:close/>
                            <a:moveTo>
                              <a:pt x="5648960" y="0"/>
                            </a:moveTo>
                            <a:lnTo>
                              <a:pt x="0" y="0"/>
                            </a:lnTo>
                            <a:lnTo>
                              <a:pt x="0" y="8889"/>
                            </a:lnTo>
                            <a:lnTo>
                              <a:pt x="5648960" y="8889"/>
                            </a:lnTo>
                            <a:lnTo>
                              <a:pt x="5648960" y="0"/>
                            </a:lnTo>
                            <a:close/>
                          </a:path>
                        </a:pathLst>
                      </a:custGeom>
                      <a:solidFill>
                        <a:srgbClr val="60222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1057593</wp:posOffset>
              </wp:positionH>
              <wp:positionV relativeFrom="page">
                <wp:posOffset>1734503</wp:posOffset>
              </wp:positionV>
              <wp:extent cx="5648960" cy="5651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48960" cy="5651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5">
    <w:pPr>
      <w:spacing w:before="13" w:lineRule="auto"/>
      <w:ind w:left="20" w:firstLine="0"/>
      <w:rPr/>
    </w:pPr>
    <w:r w:rsidDel="00000000" w:rsidR="00000000" w:rsidRPr="00000000">
      <w:rPr>
        <w:rtl w:val="0"/>
      </w:rPr>
      <w:t xml:space="preserve">Instituto Superior del Profesorado Nro. 7 “Brigadier Estanislao López” Profesorado de Nivel Inicial</w:t>
    </w:r>
  </w:p>
  <w:p w:rsidR="00000000" w:rsidDel="00000000" w:rsidP="00000000" w:rsidRDefault="00000000" w:rsidRPr="00000000" w14:paraId="000000C6">
    <w:pPr>
      <w:spacing w:before="1" w:lineRule="auto"/>
      <w:ind w:left="20" w:right="1642" w:firstLine="0"/>
      <w:rPr/>
    </w:pPr>
    <w:r w:rsidDel="00000000" w:rsidR="00000000" w:rsidRPr="00000000">
      <w:rPr>
        <w:rtl w:val="0"/>
      </w:rPr>
      <w:t xml:space="preserve">Unidad Curricular: Sexualidad Humana y Educación Curso: Cuarto año</w:t>
    </w:r>
  </w:p>
  <w:p w:rsidR="00000000" w:rsidDel="00000000" w:rsidP="00000000" w:rsidRDefault="00000000" w:rsidRPr="00000000" w14:paraId="000000C7">
    <w:pPr>
      <w:spacing w:before="1" w:lineRule="auto"/>
      <w:ind w:left="20" w:right="3298" w:firstLine="0"/>
      <w:rPr/>
    </w:pPr>
    <w:r w:rsidDel="00000000" w:rsidR="00000000" w:rsidRPr="00000000">
      <w:rPr>
        <w:rtl w:val="0"/>
      </w:rPr>
      <w:t xml:space="preserve">Régimen de cursado: cuatrimestral Formato curricular: Seminario Año: 2022</w:t>
    </w:r>
  </w:p>
  <w:p w:rsidR="00000000" w:rsidDel="00000000" w:rsidP="00000000" w:rsidRDefault="00000000" w:rsidRPr="00000000" w14:paraId="000000C8">
    <w:pPr>
      <w:spacing w:line="250" w:lineRule="auto"/>
      <w:ind w:left="20" w:firstLine="0"/>
      <w:rPr/>
    </w:pPr>
    <w:r w:rsidDel="00000000" w:rsidR="00000000" w:rsidRPr="00000000">
      <w:rPr>
        <w:rtl w:val="0"/>
      </w:rPr>
      <w:t xml:space="preserve">Profesora: Fabiana Romagnoni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o"/>
      <w:lvlJc w:val="left"/>
      <w:pPr>
        <w:ind w:left="502" w:hanging="360"/>
      </w:pPr>
      <w:rPr>
        <w:rFonts w:ascii="Courier New" w:cs="Courier New" w:eastAsia="Courier New" w:hAnsi="Courier New"/>
        <w:sz w:val="22"/>
        <w:szCs w:val="22"/>
      </w:rPr>
    </w:lvl>
    <w:lvl w:ilvl="1">
      <w:start w:val="0"/>
      <w:numFmt w:val="bullet"/>
      <w:lvlText w:val="•"/>
      <w:lvlJc w:val="left"/>
      <w:pPr>
        <w:ind w:left="740" w:hanging="360"/>
      </w:pPr>
      <w:rPr/>
    </w:lvl>
    <w:lvl w:ilvl="2">
      <w:start w:val="0"/>
      <w:numFmt w:val="bullet"/>
      <w:lvlText w:val="•"/>
      <w:lvlJc w:val="left"/>
      <w:pPr>
        <w:ind w:left="1668" w:hanging="360"/>
      </w:pPr>
      <w:rPr/>
    </w:lvl>
    <w:lvl w:ilvl="3">
      <w:start w:val="0"/>
      <w:numFmt w:val="bullet"/>
      <w:lvlText w:val="•"/>
      <w:lvlJc w:val="left"/>
      <w:pPr>
        <w:ind w:left="2597" w:hanging="360"/>
      </w:pPr>
      <w:rPr/>
    </w:lvl>
    <w:lvl w:ilvl="4">
      <w:start w:val="0"/>
      <w:numFmt w:val="bullet"/>
      <w:lvlText w:val="•"/>
      <w:lvlJc w:val="left"/>
      <w:pPr>
        <w:ind w:left="3526" w:hanging="360"/>
      </w:pPr>
      <w:rPr/>
    </w:lvl>
    <w:lvl w:ilvl="5">
      <w:start w:val="0"/>
      <w:numFmt w:val="bullet"/>
      <w:lvlText w:val="•"/>
      <w:lvlJc w:val="left"/>
      <w:pPr>
        <w:ind w:left="4455" w:hanging="360"/>
      </w:pPr>
      <w:rPr/>
    </w:lvl>
    <w:lvl w:ilvl="6">
      <w:start w:val="0"/>
      <w:numFmt w:val="bullet"/>
      <w:lvlText w:val="•"/>
      <w:lvlJc w:val="left"/>
      <w:pPr>
        <w:ind w:left="5384" w:hanging="360"/>
      </w:pPr>
      <w:rPr/>
    </w:lvl>
    <w:lvl w:ilvl="7">
      <w:start w:val="0"/>
      <w:numFmt w:val="bullet"/>
      <w:lvlText w:val="•"/>
      <w:lvlJc w:val="left"/>
      <w:pPr>
        <w:ind w:left="6313" w:hanging="360"/>
      </w:pPr>
      <w:rPr/>
    </w:lvl>
    <w:lvl w:ilvl="8">
      <w:start w:val="0"/>
      <w:numFmt w:val="bullet"/>
      <w:lvlText w:val="•"/>
      <w:lvlJc w:val="left"/>
      <w:pPr>
        <w:ind w:left="7242" w:hanging="360"/>
      </w:pPr>
      <w:rPr/>
    </w:lvl>
  </w:abstractNum>
  <w:abstractNum w:abstractNumId="2">
    <w:lvl w:ilvl="0">
      <w:start w:val="0"/>
      <w:numFmt w:val="bullet"/>
      <w:lvlText w:val="✔"/>
      <w:lvlJc w:val="left"/>
      <w:pPr>
        <w:ind w:left="144" w:hanging="425"/>
      </w:pPr>
      <w:rPr>
        <w:rFonts w:ascii="Noto Sans Symbols" w:cs="Noto Sans Symbols" w:eastAsia="Noto Sans Symbols" w:hAnsi="Noto Sans Symbols"/>
        <w:sz w:val="22"/>
        <w:szCs w:val="22"/>
      </w:rPr>
    </w:lvl>
    <w:lvl w:ilvl="1">
      <w:start w:val="0"/>
      <w:numFmt w:val="bullet"/>
      <w:lvlText w:val="•"/>
      <w:lvlJc w:val="left"/>
      <w:pPr>
        <w:ind w:left="1036" w:hanging="425"/>
      </w:pPr>
      <w:rPr/>
    </w:lvl>
    <w:lvl w:ilvl="2">
      <w:start w:val="0"/>
      <w:numFmt w:val="bullet"/>
      <w:lvlText w:val="•"/>
      <w:lvlJc w:val="left"/>
      <w:pPr>
        <w:ind w:left="1932" w:hanging="425"/>
      </w:pPr>
      <w:rPr/>
    </w:lvl>
    <w:lvl w:ilvl="3">
      <w:start w:val="0"/>
      <w:numFmt w:val="bullet"/>
      <w:lvlText w:val="•"/>
      <w:lvlJc w:val="left"/>
      <w:pPr>
        <w:ind w:left="2828" w:hanging="425"/>
      </w:pPr>
      <w:rPr/>
    </w:lvl>
    <w:lvl w:ilvl="4">
      <w:start w:val="0"/>
      <w:numFmt w:val="bullet"/>
      <w:lvlText w:val="•"/>
      <w:lvlJc w:val="left"/>
      <w:pPr>
        <w:ind w:left="3724" w:hanging="425"/>
      </w:pPr>
      <w:rPr/>
    </w:lvl>
    <w:lvl w:ilvl="5">
      <w:start w:val="0"/>
      <w:numFmt w:val="bullet"/>
      <w:lvlText w:val="•"/>
      <w:lvlJc w:val="left"/>
      <w:pPr>
        <w:ind w:left="4620" w:hanging="425"/>
      </w:pPr>
      <w:rPr/>
    </w:lvl>
    <w:lvl w:ilvl="6">
      <w:start w:val="0"/>
      <w:numFmt w:val="bullet"/>
      <w:lvlText w:val="•"/>
      <w:lvlJc w:val="left"/>
      <w:pPr>
        <w:ind w:left="5516" w:hanging="425"/>
      </w:pPr>
      <w:rPr/>
    </w:lvl>
    <w:lvl w:ilvl="7">
      <w:start w:val="0"/>
      <w:numFmt w:val="bullet"/>
      <w:lvlText w:val="•"/>
      <w:lvlJc w:val="left"/>
      <w:pPr>
        <w:ind w:left="6412" w:hanging="425"/>
      </w:pPr>
      <w:rPr/>
    </w:lvl>
    <w:lvl w:ilvl="8">
      <w:start w:val="0"/>
      <w:numFmt w:val="bullet"/>
      <w:lvlText w:val="•"/>
      <w:lvlJc w:val="left"/>
      <w:pPr>
        <w:ind w:left="7308" w:hanging="425"/>
      </w:pPr>
      <w:rPr/>
    </w:lvl>
  </w:abstractNum>
  <w:abstractNum w:abstractNumId="3">
    <w:lvl w:ilvl="0">
      <w:start w:val="0"/>
      <w:numFmt w:val="bullet"/>
      <w:lvlText w:val="●"/>
      <w:lvlJc w:val="left"/>
      <w:pPr>
        <w:ind w:left="144" w:hanging="428"/>
      </w:pPr>
      <w:rPr>
        <w:rFonts w:ascii="Noto Sans Symbols" w:cs="Noto Sans Symbols" w:eastAsia="Noto Sans Symbols" w:hAnsi="Noto Sans Symbols"/>
        <w:sz w:val="22"/>
        <w:szCs w:val="22"/>
      </w:rPr>
    </w:lvl>
    <w:lvl w:ilvl="1">
      <w:start w:val="0"/>
      <w:numFmt w:val="bullet"/>
      <w:lvlText w:val="•"/>
      <w:lvlJc w:val="left"/>
      <w:pPr>
        <w:ind w:left="1036" w:hanging="428"/>
      </w:pPr>
      <w:rPr/>
    </w:lvl>
    <w:lvl w:ilvl="2">
      <w:start w:val="0"/>
      <w:numFmt w:val="bullet"/>
      <w:lvlText w:val="•"/>
      <w:lvlJc w:val="left"/>
      <w:pPr>
        <w:ind w:left="1932" w:hanging="428.0000000000002"/>
      </w:pPr>
      <w:rPr/>
    </w:lvl>
    <w:lvl w:ilvl="3">
      <w:start w:val="0"/>
      <w:numFmt w:val="bullet"/>
      <w:lvlText w:val="•"/>
      <w:lvlJc w:val="left"/>
      <w:pPr>
        <w:ind w:left="2828" w:hanging="428"/>
      </w:pPr>
      <w:rPr/>
    </w:lvl>
    <w:lvl w:ilvl="4">
      <w:start w:val="0"/>
      <w:numFmt w:val="bullet"/>
      <w:lvlText w:val="•"/>
      <w:lvlJc w:val="left"/>
      <w:pPr>
        <w:ind w:left="3724" w:hanging="428.00000000000045"/>
      </w:pPr>
      <w:rPr/>
    </w:lvl>
    <w:lvl w:ilvl="5">
      <w:start w:val="0"/>
      <w:numFmt w:val="bullet"/>
      <w:lvlText w:val="•"/>
      <w:lvlJc w:val="left"/>
      <w:pPr>
        <w:ind w:left="4620" w:hanging="428"/>
      </w:pPr>
      <w:rPr/>
    </w:lvl>
    <w:lvl w:ilvl="6">
      <w:start w:val="0"/>
      <w:numFmt w:val="bullet"/>
      <w:lvlText w:val="•"/>
      <w:lvlJc w:val="left"/>
      <w:pPr>
        <w:ind w:left="5516" w:hanging="428"/>
      </w:pPr>
      <w:rPr/>
    </w:lvl>
    <w:lvl w:ilvl="7">
      <w:start w:val="0"/>
      <w:numFmt w:val="bullet"/>
      <w:lvlText w:val="•"/>
      <w:lvlJc w:val="left"/>
      <w:pPr>
        <w:ind w:left="6412" w:hanging="427"/>
      </w:pPr>
      <w:rPr/>
    </w:lvl>
    <w:lvl w:ilvl="8">
      <w:start w:val="0"/>
      <w:numFmt w:val="bullet"/>
      <w:lvlText w:val="•"/>
      <w:lvlJc w:val="left"/>
      <w:pPr>
        <w:ind w:left="7308" w:hanging="42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4"/>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www.me.gov.ar/me_prog/esi/doc/esi_inicial.pdf" TargetMode="External"/><Relationship Id="rId10" Type="http://schemas.openxmlformats.org/officeDocument/2006/relationships/hyperlink" Target="http://campuseducativo.santafe.gob.ar/wp-content/uploads/Contra-el-desamparo.-" TargetMode="External"/><Relationship Id="rId21" Type="http://schemas.openxmlformats.org/officeDocument/2006/relationships/footer" Target="footer3.xml"/><Relationship Id="rId13" Type="http://schemas.openxmlformats.org/officeDocument/2006/relationships/image" Target="media/image5.png"/><Relationship Id="rId12" Type="http://schemas.openxmlformats.org/officeDocument/2006/relationships/hyperlink" Target="http://www.infobae.com/sociedad/2018/03/12/como-educar-a-un-hijo-s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hyperlink" Target="http://www.conectate.gob.ar/sitios/conectate/busqueda/pakapaka?rec_id=121778" TargetMode="External"/><Relationship Id="rId16" Type="http://schemas.openxmlformats.org/officeDocument/2006/relationships/hyperlink" Target="http://www.youtube.com/watch?v=lPblMvHun6g" TargetMode="External"/><Relationship Id="rId5" Type="http://schemas.openxmlformats.org/officeDocument/2006/relationships/styles" Target="styles.xml"/><Relationship Id="rId19" Type="http://schemas.openxmlformats.org/officeDocument/2006/relationships/hyperlink" Target="http://www.uruguayeduca.edu.uy/Portal.Base/Web/VerContenido.aspx?GUID=009a37" TargetMode="External"/><Relationship Id="rId6" Type="http://schemas.openxmlformats.org/officeDocument/2006/relationships/image" Target="media/image3.png"/><Relationship Id="rId18" Type="http://schemas.openxmlformats.org/officeDocument/2006/relationships/hyperlink" Target="http://www.youtube.com/watch?v=dfmb9gN5E4U&amp;list=RDdfmb9gN5E4U&amp;t=23"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