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023" w:rsidRPr="004D1023" w:rsidRDefault="004D1023" w:rsidP="004D1023">
      <w:pPr>
        <w:keepNext/>
        <w:spacing w:after="0" w:line="240" w:lineRule="auto"/>
        <w:jc w:val="center"/>
        <w:outlineLvl w:val="5"/>
        <w:rPr>
          <w:rFonts w:ascii="Arial" w:eastAsia="Times New Roman" w:hAnsi="Arial" w:cs="Times New Roman"/>
          <w:b/>
          <w:color w:val="800000"/>
          <w:sz w:val="40"/>
          <w:szCs w:val="40"/>
          <w:u w:val="single"/>
          <w:lang w:eastAsia="es-ES"/>
        </w:rPr>
      </w:pPr>
      <w:r>
        <w:rPr>
          <w:rFonts w:ascii="Arial" w:eastAsia="Times New Roman" w:hAnsi="Arial" w:cs="Times New Roman"/>
          <w:b/>
          <w:color w:val="800000"/>
          <w:sz w:val="40"/>
          <w:szCs w:val="40"/>
          <w:u w:val="single"/>
          <w:lang w:eastAsia="es-ES"/>
        </w:rPr>
        <w:t>PROGRAMA DE EXAMEN</w:t>
      </w:r>
    </w:p>
    <w:p w:rsidR="004D1023" w:rsidRPr="004D1023" w:rsidRDefault="004D1023" w:rsidP="004D1023">
      <w:pPr>
        <w:rPr>
          <w:rFonts w:ascii="Arial" w:hAnsi="Arial" w:cs="Arial"/>
          <w:b/>
          <w:color w:val="800000"/>
          <w:sz w:val="28"/>
          <w:szCs w:val="28"/>
        </w:rPr>
      </w:pPr>
    </w:p>
    <w:p w:rsidR="004D1023" w:rsidRPr="004D1023" w:rsidRDefault="004D1023" w:rsidP="004D1023">
      <w:pPr>
        <w:rPr>
          <w:rFonts w:ascii="Arial" w:hAnsi="Arial" w:cs="Arial"/>
          <w:b/>
          <w:color w:val="800000"/>
          <w:sz w:val="28"/>
          <w:szCs w:val="28"/>
        </w:rPr>
      </w:pPr>
    </w:p>
    <w:p w:rsidR="004D1023" w:rsidRPr="004D1023" w:rsidRDefault="004D1023" w:rsidP="004D1023">
      <w:pPr>
        <w:jc w:val="center"/>
        <w:rPr>
          <w:rFonts w:ascii="Arial" w:hAnsi="Arial" w:cs="Arial"/>
          <w:b/>
          <w:color w:val="800000"/>
          <w:sz w:val="28"/>
          <w:szCs w:val="28"/>
        </w:rPr>
      </w:pPr>
      <w:r w:rsidRPr="004D1023">
        <w:rPr>
          <w:rFonts w:ascii="Arial" w:hAnsi="Arial" w:cs="Arial"/>
          <w:b/>
          <w:color w:val="800000"/>
          <w:sz w:val="28"/>
          <w:szCs w:val="28"/>
        </w:rPr>
        <w:t>INSTITUTO SUPERIOR DE PROFESORADO Nº 7</w:t>
      </w:r>
    </w:p>
    <w:p w:rsidR="004D1023" w:rsidRPr="004D1023" w:rsidRDefault="004D1023" w:rsidP="004D1023">
      <w:pPr>
        <w:jc w:val="center"/>
        <w:rPr>
          <w:rFonts w:ascii="Arial" w:hAnsi="Arial" w:cs="Arial"/>
          <w:b/>
          <w:color w:val="800000"/>
          <w:sz w:val="28"/>
          <w:szCs w:val="28"/>
        </w:rPr>
      </w:pPr>
      <w:r w:rsidRPr="004D1023">
        <w:rPr>
          <w:rFonts w:ascii="Arial" w:hAnsi="Arial" w:cs="Arial"/>
          <w:b/>
          <w:color w:val="800000"/>
          <w:sz w:val="28"/>
          <w:szCs w:val="28"/>
        </w:rPr>
        <w:t>“Brigadier Estanislao López”</w:t>
      </w:r>
    </w:p>
    <w:p w:rsidR="004D1023" w:rsidRPr="004D1023" w:rsidRDefault="004D1023" w:rsidP="004D1023">
      <w:pPr>
        <w:jc w:val="both"/>
        <w:rPr>
          <w:rFonts w:ascii="Arial" w:hAnsi="Arial" w:cs="Arial"/>
          <w:b/>
          <w:color w:val="800000"/>
          <w:sz w:val="28"/>
          <w:szCs w:val="28"/>
        </w:rPr>
      </w:pPr>
    </w:p>
    <w:p w:rsidR="004D1023" w:rsidRPr="004D1023" w:rsidRDefault="004D1023" w:rsidP="004D1023">
      <w:pPr>
        <w:ind w:firstLine="708"/>
        <w:jc w:val="both"/>
        <w:rPr>
          <w:rFonts w:ascii="Arial" w:hAnsi="Arial" w:cs="Arial"/>
          <w:b/>
          <w:color w:val="800000"/>
          <w:sz w:val="28"/>
          <w:szCs w:val="28"/>
        </w:rPr>
      </w:pPr>
      <w:r w:rsidRPr="004D1023">
        <w:rPr>
          <w:rFonts w:ascii="Arial" w:hAnsi="Arial" w:cs="Arial"/>
          <w:b/>
          <w:color w:val="800000"/>
          <w:sz w:val="28"/>
          <w:szCs w:val="28"/>
          <w:u w:val="single"/>
        </w:rPr>
        <w:t>CARRERA:</w:t>
      </w:r>
      <w:r w:rsidRPr="004D1023">
        <w:rPr>
          <w:rFonts w:ascii="Arial" w:hAnsi="Arial" w:cs="Arial"/>
          <w:b/>
          <w:color w:val="800000"/>
          <w:sz w:val="28"/>
          <w:szCs w:val="28"/>
        </w:rPr>
        <w:t xml:space="preserve"> Geografía</w:t>
      </w:r>
    </w:p>
    <w:p w:rsidR="004D1023" w:rsidRPr="004D1023" w:rsidRDefault="004D1023" w:rsidP="004D1023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color w:val="800000"/>
          <w:sz w:val="28"/>
          <w:szCs w:val="28"/>
          <w:u w:val="single"/>
          <w:lang w:eastAsia="es-ES"/>
        </w:rPr>
      </w:pPr>
    </w:p>
    <w:p w:rsidR="004D1023" w:rsidRPr="004D1023" w:rsidRDefault="004D1023" w:rsidP="004D1023">
      <w:pPr>
        <w:keepNext/>
        <w:spacing w:after="0" w:line="240" w:lineRule="auto"/>
        <w:ind w:firstLine="708"/>
        <w:jc w:val="both"/>
        <w:outlineLvl w:val="5"/>
        <w:rPr>
          <w:rFonts w:ascii="Arial" w:eastAsia="Times New Roman" w:hAnsi="Arial" w:cs="Arial"/>
          <w:b/>
          <w:color w:val="800000"/>
          <w:sz w:val="28"/>
          <w:szCs w:val="28"/>
          <w:lang w:eastAsia="es-ES"/>
        </w:rPr>
      </w:pPr>
      <w:r w:rsidRPr="004D1023">
        <w:rPr>
          <w:rFonts w:ascii="Arial" w:eastAsia="Times New Roman" w:hAnsi="Arial" w:cs="Arial"/>
          <w:b/>
          <w:color w:val="800000"/>
          <w:sz w:val="28"/>
          <w:szCs w:val="28"/>
          <w:u w:val="single"/>
          <w:lang w:eastAsia="es-ES"/>
        </w:rPr>
        <w:t>MATERIA:</w:t>
      </w:r>
      <w:r w:rsidRPr="004D1023">
        <w:rPr>
          <w:rFonts w:ascii="Arial" w:eastAsia="Times New Roman" w:hAnsi="Arial" w:cs="Arial"/>
          <w:b/>
          <w:color w:val="800000"/>
          <w:sz w:val="28"/>
          <w:szCs w:val="28"/>
          <w:lang w:eastAsia="es-ES"/>
        </w:rPr>
        <w:t xml:space="preserve"> U.C.O. Realidad Contemporánea de los Pueblos</w:t>
      </w:r>
    </w:p>
    <w:p w:rsidR="004D1023" w:rsidRPr="004D1023" w:rsidRDefault="004D1023" w:rsidP="004D1023">
      <w:pPr>
        <w:keepNext/>
        <w:spacing w:after="0" w:line="240" w:lineRule="auto"/>
        <w:ind w:firstLine="708"/>
        <w:jc w:val="both"/>
        <w:outlineLvl w:val="5"/>
        <w:rPr>
          <w:rFonts w:ascii="Arial" w:eastAsia="Times New Roman" w:hAnsi="Arial" w:cs="Arial"/>
          <w:b/>
          <w:color w:val="800000"/>
          <w:sz w:val="28"/>
          <w:szCs w:val="28"/>
          <w:lang w:eastAsia="es-ES"/>
        </w:rPr>
      </w:pPr>
      <w:r w:rsidRPr="004D1023">
        <w:rPr>
          <w:rFonts w:ascii="Arial" w:eastAsia="Times New Roman" w:hAnsi="Arial" w:cs="Arial"/>
          <w:b/>
          <w:color w:val="800000"/>
          <w:sz w:val="28"/>
          <w:szCs w:val="28"/>
          <w:lang w:eastAsia="es-ES"/>
        </w:rPr>
        <w:t>Indígenas</w:t>
      </w:r>
    </w:p>
    <w:p w:rsidR="004D1023" w:rsidRPr="004D1023" w:rsidRDefault="004D1023" w:rsidP="004D1023">
      <w:pPr>
        <w:jc w:val="both"/>
        <w:rPr>
          <w:rFonts w:ascii="Arial" w:hAnsi="Arial" w:cs="Arial"/>
          <w:b/>
          <w:color w:val="800000"/>
          <w:sz w:val="28"/>
          <w:szCs w:val="28"/>
        </w:rPr>
      </w:pPr>
    </w:p>
    <w:p w:rsidR="004D1023" w:rsidRPr="004D1023" w:rsidRDefault="004D1023" w:rsidP="004D1023">
      <w:pPr>
        <w:ind w:firstLine="708"/>
        <w:jc w:val="both"/>
        <w:rPr>
          <w:rFonts w:ascii="Arial" w:hAnsi="Arial" w:cs="Arial"/>
          <w:b/>
          <w:color w:val="800000"/>
          <w:sz w:val="28"/>
          <w:szCs w:val="28"/>
        </w:rPr>
      </w:pPr>
      <w:r w:rsidRPr="004D1023">
        <w:rPr>
          <w:rFonts w:ascii="Arial" w:hAnsi="Arial" w:cs="Arial"/>
          <w:b/>
          <w:color w:val="800000"/>
          <w:sz w:val="28"/>
          <w:szCs w:val="28"/>
          <w:u w:val="single"/>
        </w:rPr>
        <w:t>CURSO:</w:t>
      </w:r>
      <w:r w:rsidRPr="004D1023">
        <w:rPr>
          <w:rFonts w:ascii="Arial" w:hAnsi="Arial" w:cs="Arial"/>
          <w:b/>
          <w:color w:val="800000"/>
          <w:sz w:val="28"/>
          <w:szCs w:val="28"/>
        </w:rPr>
        <w:t xml:space="preserve"> 4º Año</w:t>
      </w:r>
    </w:p>
    <w:p w:rsidR="004D1023" w:rsidRPr="004D1023" w:rsidRDefault="004D1023" w:rsidP="004D1023">
      <w:pPr>
        <w:jc w:val="both"/>
        <w:rPr>
          <w:rFonts w:ascii="Arial" w:hAnsi="Arial" w:cs="Arial"/>
          <w:b/>
          <w:color w:val="800000"/>
          <w:sz w:val="28"/>
          <w:szCs w:val="28"/>
        </w:rPr>
      </w:pPr>
    </w:p>
    <w:p w:rsidR="004D1023" w:rsidRPr="004D1023" w:rsidRDefault="004D1023" w:rsidP="004D1023">
      <w:pPr>
        <w:ind w:firstLine="708"/>
        <w:jc w:val="both"/>
        <w:rPr>
          <w:rFonts w:ascii="Arial" w:hAnsi="Arial" w:cs="Arial"/>
          <w:b/>
          <w:color w:val="800000"/>
          <w:sz w:val="28"/>
          <w:szCs w:val="28"/>
        </w:rPr>
      </w:pPr>
      <w:r w:rsidRPr="004D1023">
        <w:rPr>
          <w:rFonts w:ascii="Arial" w:hAnsi="Arial" w:cs="Arial"/>
          <w:b/>
          <w:color w:val="800000"/>
          <w:sz w:val="28"/>
          <w:szCs w:val="28"/>
          <w:u w:val="single"/>
        </w:rPr>
        <w:t>RÉGIMEN:</w:t>
      </w:r>
      <w:r w:rsidRPr="004D1023">
        <w:rPr>
          <w:rFonts w:ascii="Arial" w:hAnsi="Arial" w:cs="Arial"/>
          <w:b/>
          <w:color w:val="800000"/>
          <w:sz w:val="28"/>
          <w:szCs w:val="28"/>
        </w:rPr>
        <w:t xml:space="preserve"> Anual – 3 hs. Cátedras Semanales</w:t>
      </w:r>
    </w:p>
    <w:p w:rsidR="004D1023" w:rsidRPr="004D1023" w:rsidRDefault="004D1023" w:rsidP="004D1023">
      <w:pPr>
        <w:jc w:val="both"/>
        <w:rPr>
          <w:rFonts w:ascii="Arial" w:hAnsi="Arial" w:cs="Arial"/>
          <w:b/>
          <w:color w:val="800000"/>
          <w:sz w:val="28"/>
          <w:szCs w:val="28"/>
        </w:rPr>
      </w:pPr>
    </w:p>
    <w:p w:rsidR="004D1023" w:rsidRPr="004D1023" w:rsidRDefault="004D1023" w:rsidP="004D1023">
      <w:pPr>
        <w:ind w:firstLine="708"/>
        <w:jc w:val="both"/>
        <w:rPr>
          <w:rFonts w:ascii="Arial" w:hAnsi="Arial" w:cs="Arial"/>
          <w:b/>
          <w:color w:val="800000"/>
          <w:sz w:val="28"/>
          <w:szCs w:val="28"/>
        </w:rPr>
      </w:pPr>
      <w:r w:rsidRPr="004D1023">
        <w:rPr>
          <w:rFonts w:ascii="Arial" w:hAnsi="Arial" w:cs="Arial"/>
          <w:b/>
          <w:color w:val="800000"/>
          <w:sz w:val="28"/>
          <w:szCs w:val="28"/>
          <w:u w:val="single"/>
        </w:rPr>
        <w:t>AÑO ACADÉMICO:</w:t>
      </w:r>
      <w:r w:rsidR="00FD511C">
        <w:rPr>
          <w:rFonts w:ascii="Arial" w:hAnsi="Arial" w:cs="Arial"/>
          <w:b/>
          <w:color w:val="800000"/>
          <w:sz w:val="28"/>
          <w:szCs w:val="28"/>
        </w:rPr>
        <w:t xml:space="preserve"> 2025</w:t>
      </w:r>
      <w:bookmarkStart w:id="0" w:name="_GoBack"/>
      <w:bookmarkEnd w:id="0"/>
    </w:p>
    <w:p w:rsidR="004D1023" w:rsidRPr="004D1023" w:rsidRDefault="004D1023" w:rsidP="004D1023">
      <w:pPr>
        <w:jc w:val="both"/>
        <w:rPr>
          <w:rFonts w:ascii="Arial" w:hAnsi="Arial" w:cs="Arial"/>
          <w:b/>
          <w:color w:val="800000"/>
          <w:sz w:val="28"/>
          <w:szCs w:val="28"/>
        </w:rPr>
      </w:pPr>
    </w:p>
    <w:p w:rsidR="004D1023" w:rsidRPr="004D1023" w:rsidRDefault="004D1023" w:rsidP="004D1023">
      <w:pPr>
        <w:ind w:firstLine="708"/>
        <w:jc w:val="both"/>
        <w:rPr>
          <w:rFonts w:ascii="Arial" w:hAnsi="Arial" w:cs="Arial"/>
          <w:b/>
          <w:color w:val="993300"/>
          <w:sz w:val="28"/>
          <w:szCs w:val="28"/>
        </w:rPr>
      </w:pPr>
      <w:r w:rsidRPr="004D1023">
        <w:rPr>
          <w:rFonts w:ascii="Arial" w:hAnsi="Arial" w:cs="Arial"/>
          <w:b/>
          <w:color w:val="800000"/>
          <w:sz w:val="28"/>
          <w:szCs w:val="28"/>
          <w:u w:val="single"/>
        </w:rPr>
        <w:t>DOCENTE:</w:t>
      </w:r>
      <w:r w:rsidRPr="004D1023">
        <w:rPr>
          <w:rFonts w:ascii="Arial" w:hAnsi="Arial" w:cs="Arial"/>
          <w:b/>
          <w:color w:val="800000"/>
          <w:sz w:val="28"/>
          <w:szCs w:val="28"/>
        </w:rPr>
        <w:t xml:space="preserve"> Lic. Leandro M. Ranalli</w:t>
      </w:r>
    </w:p>
    <w:p w:rsidR="004D1023" w:rsidRDefault="004D1023" w:rsidP="004D1023">
      <w:pPr>
        <w:ind w:firstLine="708"/>
        <w:jc w:val="both"/>
        <w:rPr>
          <w:rFonts w:ascii="Arial" w:hAnsi="Arial" w:cs="Arial"/>
          <w:b/>
          <w:color w:val="993300"/>
          <w:sz w:val="28"/>
          <w:szCs w:val="28"/>
        </w:rPr>
      </w:pPr>
    </w:p>
    <w:p w:rsidR="004D1023" w:rsidRDefault="004D1023" w:rsidP="004D1023">
      <w:pPr>
        <w:ind w:firstLine="708"/>
        <w:jc w:val="both"/>
        <w:rPr>
          <w:rFonts w:ascii="Arial" w:hAnsi="Arial" w:cs="Arial"/>
          <w:b/>
          <w:color w:val="993300"/>
          <w:sz w:val="28"/>
          <w:szCs w:val="28"/>
        </w:rPr>
      </w:pPr>
    </w:p>
    <w:p w:rsidR="004D1023" w:rsidRDefault="004D1023" w:rsidP="004D1023">
      <w:pPr>
        <w:ind w:firstLine="708"/>
        <w:jc w:val="both"/>
        <w:rPr>
          <w:rFonts w:ascii="Arial" w:hAnsi="Arial" w:cs="Arial"/>
          <w:b/>
          <w:color w:val="993300"/>
          <w:sz w:val="28"/>
          <w:szCs w:val="28"/>
        </w:rPr>
      </w:pPr>
    </w:p>
    <w:p w:rsidR="004D1023" w:rsidRDefault="004D1023" w:rsidP="004D1023">
      <w:pPr>
        <w:ind w:firstLine="708"/>
        <w:jc w:val="both"/>
        <w:rPr>
          <w:rFonts w:ascii="Arial" w:hAnsi="Arial" w:cs="Arial"/>
          <w:b/>
          <w:color w:val="993300"/>
          <w:sz w:val="28"/>
          <w:szCs w:val="28"/>
        </w:rPr>
      </w:pPr>
    </w:p>
    <w:p w:rsidR="004D1023" w:rsidRDefault="004D1023" w:rsidP="004D1023">
      <w:pPr>
        <w:ind w:firstLine="708"/>
        <w:jc w:val="both"/>
        <w:rPr>
          <w:rFonts w:ascii="Arial" w:hAnsi="Arial" w:cs="Arial"/>
          <w:b/>
          <w:color w:val="993300"/>
          <w:sz w:val="28"/>
          <w:szCs w:val="28"/>
        </w:rPr>
      </w:pPr>
    </w:p>
    <w:p w:rsidR="004D1023" w:rsidRDefault="004D1023" w:rsidP="004D1023">
      <w:pPr>
        <w:ind w:firstLine="708"/>
        <w:jc w:val="both"/>
        <w:rPr>
          <w:rFonts w:ascii="Arial" w:hAnsi="Arial" w:cs="Arial"/>
          <w:b/>
          <w:color w:val="993300"/>
          <w:sz w:val="28"/>
          <w:szCs w:val="28"/>
        </w:rPr>
      </w:pPr>
    </w:p>
    <w:p w:rsidR="004D1023" w:rsidRDefault="004D1023" w:rsidP="004D1023">
      <w:pPr>
        <w:ind w:firstLine="708"/>
        <w:jc w:val="both"/>
        <w:rPr>
          <w:rFonts w:ascii="Arial" w:hAnsi="Arial" w:cs="Arial"/>
          <w:b/>
          <w:color w:val="993300"/>
          <w:sz w:val="28"/>
          <w:szCs w:val="28"/>
        </w:rPr>
      </w:pPr>
    </w:p>
    <w:p w:rsidR="004D1023" w:rsidRDefault="004D1023" w:rsidP="004D1023">
      <w:pPr>
        <w:ind w:firstLine="708"/>
        <w:jc w:val="both"/>
        <w:rPr>
          <w:rFonts w:ascii="Arial" w:hAnsi="Arial" w:cs="Arial"/>
          <w:b/>
          <w:color w:val="993300"/>
          <w:sz w:val="28"/>
          <w:szCs w:val="28"/>
        </w:rPr>
      </w:pPr>
    </w:p>
    <w:p w:rsidR="004D1023" w:rsidRPr="004D1023" w:rsidRDefault="004D1023" w:rsidP="004D1023"/>
    <w:p w:rsidR="004D1023" w:rsidRPr="005E0211" w:rsidRDefault="004D1023" w:rsidP="004D1023">
      <w:pPr>
        <w:ind w:firstLine="284"/>
        <w:jc w:val="both"/>
        <w:rPr>
          <w:b/>
          <w:u w:val="single"/>
        </w:rPr>
      </w:pPr>
      <w:r w:rsidRPr="005E0211">
        <w:rPr>
          <w:b/>
          <w:u w:val="single"/>
        </w:rPr>
        <w:lastRenderedPageBreak/>
        <w:t>CONTENIDOS CONCEPTUALES</w:t>
      </w:r>
      <w:r>
        <w:rPr>
          <w:b/>
          <w:u w:val="single"/>
        </w:rPr>
        <w:t>: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 w:rsidRPr="00C95BF7">
        <w:t>La colonización de América como proceso de sometimiento de las culturas indígenas</w:t>
      </w:r>
      <w:r>
        <w:t>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La resistencia de los pueblos indígenas.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La ocupación de su territorio.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Los pueblos nómades y sedentarios.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El legado de Túpac Amaru en los pueblos andinos de América.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La influencia del pasado colonial.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La Campaña al Desierto en Argentina.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El Movimiento Zapatista en México y su oposición al NAFTA.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El movimiento Sin Tierra en Brasil y su lucha.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Las distintas culturas indígenas en nuestro país.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Un reclamo común: la posesión de la tierra.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La discriminación de las comunidades indígenas.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La experiencia del MOCASE en Santiago del Estero.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La lucha por defender su cultura y su lengua.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Las culturas indígenas su pasado, presente y futuro.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Un ejemplo de resistencia: el Pueblo Mapuche.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La cosmovisión de los pueblos indígenas.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Las comunidades indígenas como sujetos de derechos, el artículo 75 inc 19.</w:t>
      </w:r>
    </w:p>
    <w:p w:rsidR="004D1023" w:rsidRDefault="004D1023" w:rsidP="004D1023">
      <w:pPr>
        <w:pStyle w:val="Prrafodelista"/>
        <w:numPr>
          <w:ilvl w:val="0"/>
          <w:numId w:val="1"/>
        </w:numPr>
        <w:ind w:left="0" w:firstLine="284"/>
        <w:jc w:val="both"/>
      </w:pPr>
      <w:r>
        <w:t>Los derechos indígenas en la legislación internacional.</w:t>
      </w:r>
    </w:p>
    <w:p w:rsidR="005374D0" w:rsidRDefault="005374D0" w:rsidP="005374D0">
      <w:pPr>
        <w:jc w:val="both"/>
      </w:pPr>
    </w:p>
    <w:p w:rsidR="005374D0" w:rsidRPr="005374D0" w:rsidRDefault="005374D0" w:rsidP="005374D0">
      <w:pPr>
        <w:jc w:val="both"/>
        <w:rPr>
          <w:b/>
          <w:sz w:val="24"/>
          <w:szCs w:val="24"/>
          <w:u w:val="single"/>
        </w:rPr>
      </w:pPr>
      <w:r w:rsidRPr="005374D0">
        <w:rPr>
          <w:b/>
          <w:sz w:val="24"/>
          <w:szCs w:val="24"/>
          <w:u w:val="single"/>
        </w:rPr>
        <w:t>BIBLIOGRAFÍA</w:t>
      </w:r>
    </w:p>
    <w:p w:rsidR="005374D0" w:rsidRDefault="005374D0" w:rsidP="005374D0">
      <w:pPr>
        <w:jc w:val="both"/>
      </w:pPr>
      <w:r>
        <w:t>•</w:t>
      </w:r>
      <w:r>
        <w:tab/>
        <w:t xml:space="preserve">Bandieri, Susana (coord.) (2001): Cruzando la Cordillera... La frontera argentino-chilena como espacio social, Centro de Estudios de Historia Regional, Facultad de Humanidades, Universidad Nacional del Comahue, Neuquén. </w:t>
      </w:r>
    </w:p>
    <w:p w:rsidR="005374D0" w:rsidRDefault="005374D0" w:rsidP="005374D0">
      <w:pPr>
        <w:jc w:val="both"/>
      </w:pPr>
      <w:r>
        <w:t>•</w:t>
      </w:r>
      <w:r>
        <w:tab/>
        <w:t>Bechis, Martha (1989): “Los lideratos políticos en el área arauco-pampeana en el siglo XIX: ¿poder o autoridad?”, ponencia, I Congreso de Etnohistoria Argentina, Buenos Aires.</w:t>
      </w:r>
    </w:p>
    <w:p w:rsidR="005374D0" w:rsidRDefault="005374D0" w:rsidP="005374D0">
      <w:pPr>
        <w:jc w:val="both"/>
      </w:pPr>
      <w:r>
        <w:t>•</w:t>
      </w:r>
      <w:r>
        <w:tab/>
        <w:t>Bechis, Martha (2008): Piezas de etnohistoria del sur sudamericano, Madrid, Consejo Superior de Investigaciones Científicas.Bengoa, José (1987): Historia del pueblo mapuche (siglos XIX y XX), Santiago de Chile, Ediciones Sur.</w:t>
      </w:r>
    </w:p>
    <w:p w:rsidR="005374D0" w:rsidRDefault="005374D0" w:rsidP="005374D0">
      <w:pPr>
        <w:jc w:val="both"/>
      </w:pPr>
      <w:r>
        <w:t>•</w:t>
      </w:r>
      <w:r>
        <w:tab/>
        <w:t>Escolar, Diego (2007): Los Dones étnicos de la Nación. Identidades huarpe y modos de producción de soberanía estatal en Argentina, Buenos Aires, Prometeo.</w:t>
      </w:r>
    </w:p>
    <w:p w:rsidR="005374D0" w:rsidRDefault="005374D0" w:rsidP="005374D0">
      <w:pPr>
        <w:jc w:val="both"/>
      </w:pPr>
      <w:r>
        <w:t>•</w:t>
      </w:r>
      <w:r>
        <w:tab/>
        <w:t>Escolar, Diego (2008): “El repartimiento de prisioneros indígenas en Mendoza durante y después de la Campaña del Desierto”, en Actas de las III Jornadas de Historia de la Patagonia, San Carlos de Bariloche, Universidad Nacional del Comahue.</w:t>
      </w:r>
    </w:p>
    <w:p w:rsidR="005374D0" w:rsidRDefault="005374D0" w:rsidP="005374D0">
      <w:pPr>
        <w:jc w:val="both"/>
      </w:pPr>
      <w:r>
        <w:t>•</w:t>
      </w:r>
      <w:r>
        <w:tab/>
        <w:t xml:space="preserve">Escolar, Diego y Julio Esteban Vezub (2013): “¿Quién mató a Millamán? Venganzas y guerra de ocupación nacional del Neuquén, 1882-3”, en Nuevo Mundo, Mundos Nuevos, París.Instituto Nacional de Estadística y Censos (INDEC) (2015): Informe sobre resultados del Censo Nacional de Población, Hogares y Viviendas 2010, Pueblos Originarios, Región Cuyo. </w:t>
      </w:r>
    </w:p>
    <w:p w:rsidR="005374D0" w:rsidRDefault="005374D0" w:rsidP="005374D0">
      <w:pPr>
        <w:jc w:val="both"/>
      </w:pPr>
      <w:r>
        <w:lastRenderedPageBreak/>
        <w:t>•</w:t>
      </w:r>
      <w:r>
        <w:tab/>
        <w:t>Magallanes, Julieta (2014): “De sitio de sometimiento a espacio de la memoria: el Molino Harinero de Malargüe como anclaje de elaboraciones político-culturales sobre el pasado y el presente”, ponencia, XI Congreso Argentino de Antropología Social, Rosario.</w:t>
      </w:r>
    </w:p>
    <w:p w:rsidR="005374D0" w:rsidRDefault="005374D0" w:rsidP="005374D0">
      <w:pPr>
        <w:jc w:val="both"/>
      </w:pPr>
      <w:r>
        <w:t>•</w:t>
      </w:r>
      <w:r>
        <w:tab/>
        <w:t xml:space="preserve">Sanjurjo de Driollet, Inés Elena (comp.) (2012): Pequeños espacios ex-céntricos. Instituciones, sociedad y economía en la periferia de Mendoza (1900-1955), Rosario, Prohistoria. </w:t>
      </w:r>
    </w:p>
    <w:p w:rsidR="005374D0" w:rsidRDefault="005374D0" w:rsidP="005374D0">
      <w:pPr>
        <w:jc w:val="both"/>
      </w:pPr>
      <w:r>
        <w:t>•</w:t>
      </w:r>
      <w:r>
        <w:tab/>
        <w:t>Villar Daniel y Juan Francisco Jiménez (2000): “Botín, materialización ideológica y guerra en las pampas durante la segunda mitad del siglo XVIII. El caso de Llanketruz”, Revista de Indias, vol. LX, N° 220.</w:t>
      </w:r>
    </w:p>
    <w:p w:rsidR="005374D0" w:rsidRDefault="005374D0" w:rsidP="005374D0">
      <w:pPr>
        <w:jc w:val="both"/>
      </w:pPr>
      <w:r>
        <w:t>•</w:t>
      </w:r>
      <w:r>
        <w:tab/>
        <w:t>Villar Daniel y Juan Francisco Jiménez (2005): “Un argel disimulado. Aucán y poder entre los corsarios de Mamil Mapu (segunda mitad del siglo XVIII)”, en Nuevo Mundo, Mundos Nuevos, París.</w:t>
      </w:r>
    </w:p>
    <w:p w:rsidR="005374D0" w:rsidRDefault="005374D0" w:rsidP="005374D0">
      <w:pPr>
        <w:jc w:val="both"/>
      </w:pPr>
    </w:p>
    <w:p w:rsidR="005374D0" w:rsidRDefault="005374D0" w:rsidP="005374D0">
      <w:pPr>
        <w:jc w:val="both"/>
      </w:pPr>
    </w:p>
    <w:p w:rsidR="004D1023" w:rsidRPr="00ED5359" w:rsidRDefault="004D1023" w:rsidP="004D1023">
      <w:pPr>
        <w:ind w:firstLine="284"/>
        <w:jc w:val="both"/>
        <w:rPr>
          <w:u w:val="single"/>
        </w:rPr>
      </w:pPr>
    </w:p>
    <w:p w:rsidR="005554E3" w:rsidRDefault="005554E3"/>
    <w:sectPr w:rsidR="005554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A7D90"/>
    <w:multiLevelType w:val="hybridMultilevel"/>
    <w:tmpl w:val="8A9A9CC0"/>
    <w:lvl w:ilvl="0" w:tplc="2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01"/>
    <w:rsid w:val="00305B63"/>
    <w:rsid w:val="004D1023"/>
    <w:rsid w:val="005374D0"/>
    <w:rsid w:val="005554E3"/>
    <w:rsid w:val="00A03D47"/>
    <w:rsid w:val="00DE7230"/>
    <w:rsid w:val="00EB7201"/>
    <w:rsid w:val="00FD4729"/>
    <w:rsid w:val="00F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8051C6-87BB-424F-866A-878AB0C1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537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ranalli</dc:creator>
  <cp:keywords/>
  <dc:description/>
  <cp:lastModifiedBy>alumno</cp:lastModifiedBy>
  <cp:revision>13</cp:revision>
  <dcterms:created xsi:type="dcterms:W3CDTF">2019-11-26T22:21:00Z</dcterms:created>
  <dcterms:modified xsi:type="dcterms:W3CDTF">2025-06-21T00:58:00Z</dcterms:modified>
</cp:coreProperties>
</file>