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Fundamentación</w:t>
      </w:r>
    </w:p>
    <w:p w:rsidR="00000000" w:rsidDel="00000000" w:rsidP="00000000" w:rsidRDefault="00000000" w:rsidRPr="00000000" w14:paraId="00000001">
      <w:pPr>
        <w:spacing w:line="360" w:lineRule="auto"/>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En el momento histórico que nos toca vivir, debemos tener presentes más que nunca que la matemática es sobre todo SABER HACER ya que es una ciencia en la que el método predomina sobre el contenido. Ella posee un papel formativo, pues al ser una ciencia que a partir de nociones fundamentales desarrolla teorías que se valen únicamente del razonamiento lógico, contribuye a desarrollar el pensamiento lógico – deductivo, permitiendo formar sujetos capaces de observar, analizar y razonar. De esa manera posibilita la aplicación de los conocimientos fuera del ámbito escolar, donde debe tomar decisiones, enfrentarse y adaptarse a situaciones nuevas, exponer sus opiniones y ser receptivos con las de los demás.</w:t>
      </w:r>
    </w:p>
    <w:p w:rsidR="00000000" w:rsidDel="00000000" w:rsidP="00000000" w:rsidRDefault="00000000" w:rsidRPr="00000000" w14:paraId="00000002">
      <w:pPr>
        <w:spacing w:line="360" w:lineRule="auto"/>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 ser éste un espacio de reflexión y de socialización de saberes en relación a las prácticas docentes tanto propias como ajenas  el trabajo en el Ateneo está centrado en: los conocimientos </w:t>
        <w:tab/>
        <w:t xml:space="preserve">matemáticos formado   por   los   bloques  de  contenidos  que se encuentran plasmados en los NAP: Números,  Operaciones, Geometría y Medida, los conocimientos epistemológicos   de   los   saberes: qué es la matemática, qué significa hacer matemática, herramientas específicas del quehacer  matemático, concepciones, la formulación y argumentación en matemática, los conocimientos didácticos tales como tipología de las  situaciones (de acción,  formulación,  validación  e  institucionalización), situaciones didácticas y a-didácticas, variables, contrato,   pero   también  contenidos  relativos  a distintos  enfoques  en  la Didáctica de   la   Matemática y por último se retoman espiraladamente  las  herramientas  utilizadas a lo largo de la formación para trascenderlas.</w:t>
      </w:r>
    </w:p>
    <w:p w:rsidR="00000000" w:rsidDel="00000000" w:rsidP="00000000" w:rsidRDefault="00000000" w:rsidRPr="00000000" w14:paraId="00000003">
      <w:pPr>
        <w:spacing w:line="360" w:lineRule="auto"/>
        <w:contextualSpacing w:val="0"/>
        <w:jc w:val="both"/>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Propósitos</w:t>
      </w:r>
    </w:p>
    <w:p w:rsidR="00000000" w:rsidDel="00000000" w:rsidP="00000000" w:rsidRDefault="00000000" w:rsidRPr="00000000" w14:paraId="00000004">
      <w:pPr>
        <w:numPr>
          <w:ilvl w:val="0"/>
          <w:numId w:val="3"/>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Construir criterios  y  adquirir  instrumentos  que  les  permitan  gestionar  una  clase  de  matemática, seleccionar  y  diseñar recursos pertinentes  para los  objetivos  que  se  proponen,  anticipar y analizar sus propias intervenciones.</w:t>
      </w:r>
    </w:p>
    <w:p w:rsidR="00000000" w:rsidDel="00000000" w:rsidP="00000000" w:rsidRDefault="00000000" w:rsidRPr="00000000" w14:paraId="00000005">
      <w:pPr>
        <w:numPr>
          <w:ilvl w:val="0"/>
          <w:numId w:val="3"/>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Contemplar las prácticas docentes que involucran la enseñanza de la matemática como objeto de estudio es decir, dominen contenidos matemáticos  específicos.</w:t>
      </w:r>
    </w:p>
    <w:p w:rsidR="00000000" w:rsidDel="00000000" w:rsidP="00000000" w:rsidRDefault="00000000" w:rsidRPr="00000000" w14:paraId="00000006">
      <w:pPr>
        <w:numPr>
          <w:ilvl w:val="0"/>
          <w:numId w:val="3"/>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Construir una relación con el saber matemático de otro orden, ya que las prácticas escolares no se restringen a la mera transmisión de contenidos sino a la de una cultura, para eso deben aproximarse a las características de la actividad matemática, reconocer su carácter histórico, y reflexionar acerca de la finalidad de enseñar y aprender estos conocimientos en la escuela.</w:t>
      </w:r>
    </w:p>
    <w:p w:rsidR="00000000" w:rsidDel="00000000" w:rsidP="00000000" w:rsidRDefault="00000000" w:rsidRPr="00000000" w14:paraId="00000007">
      <w:pPr>
        <w:spacing w:line="360" w:lineRule="auto"/>
        <w:ind w:left="720" w:firstLine="0"/>
        <w:contextualSpacing w:val="0"/>
        <w:jc w:val="both"/>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Contenidos</w:t>
      </w:r>
    </w:p>
    <w:p w:rsidR="00000000" w:rsidDel="00000000" w:rsidP="00000000" w:rsidRDefault="00000000" w:rsidRPr="00000000" w14:paraId="00000008">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El sentido de la enseñanza de la matemática en la Educación Primaria. Consideraciones  sobre  las situaciones  didácticas (Brousseau),  marco  teórico para sustentar la enseñanza y el aprendizaje de la matemática.</w:t>
      </w:r>
    </w:p>
    <w:p w:rsidR="00000000" w:rsidDel="00000000" w:rsidP="00000000" w:rsidRDefault="00000000" w:rsidRPr="00000000" w14:paraId="00000009">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Gestión de clase: agrupaciones de los niños/as según los momentos de trabajo, interacción entre los niños/as entre sí, con el docente y con el objeto de conocimiento. El rol del docente: la devolución e institucionalización.</w:t>
      </w:r>
    </w:p>
    <w:p w:rsidR="00000000" w:rsidDel="00000000" w:rsidP="00000000" w:rsidRDefault="00000000" w:rsidRPr="00000000" w14:paraId="0000000A">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Análisis didáctico de las situaciones de enseñanza atendiendo a: intencionalidades,  conocimientos  y  contenidos,</w:t>
        <w:tab/>
        <w:t xml:space="preserve">tipos  de  tareas  (ejercicio,  problema,  situación  problemática,  exploración,  proyecto),  procedimientos  posibles  de  resolución, intervenciones docentes, anticipaciones factibles, validaciones, evaluación.</w:t>
      </w:r>
    </w:p>
    <w:p w:rsidR="00000000" w:rsidDel="00000000" w:rsidP="00000000" w:rsidRDefault="00000000" w:rsidRPr="00000000" w14:paraId="0000000B">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Actividades  de  enseñanza  para  promover  conocimientos  numéricos  vinculados al sistema de numeración.</w:t>
      </w:r>
    </w:p>
    <w:p w:rsidR="00000000" w:rsidDel="00000000" w:rsidP="00000000" w:rsidRDefault="00000000" w:rsidRPr="00000000" w14:paraId="0000000C">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Actividades que se enseñan para promover conocimientos vinculados con las operaciones y sus propiedades.</w:t>
      </w:r>
    </w:p>
    <w:p w:rsidR="00000000" w:rsidDel="00000000" w:rsidP="00000000" w:rsidRDefault="00000000" w:rsidRPr="00000000" w14:paraId="0000000D">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Actividades  de  enseñanza  para  promover  conocimientos  referidos  al  espacio  geométrico. </w:t>
      </w:r>
    </w:p>
    <w:p w:rsidR="00000000" w:rsidDel="00000000" w:rsidP="00000000" w:rsidRDefault="00000000" w:rsidRPr="00000000" w14:paraId="0000000E">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Actividades de enseñanza para promover conocimientos de la medida y la medición</w:t>
      </w:r>
    </w:p>
    <w:p w:rsidR="00000000" w:rsidDel="00000000" w:rsidP="00000000" w:rsidRDefault="00000000" w:rsidRPr="00000000" w14:paraId="0000000F">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Lectura y escritura favorecedora de la apropiación conceptual metodológica de las prácticas discursivas propias del área y de su enseñanza.</w:t>
      </w:r>
    </w:p>
    <w:p w:rsidR="00000000" w:rsidDel="00000000" w:rsidP="00000000" w:rsidRDefault="00000000" w:rsidRPr="00000000" w14:paraId="00000010">
      <w:pPr>
        <w:numPr>
          <w:ilvl w:val="0"/>
          <w:numId w:val="1"/>
        </w:numPr>
        <w:spacing w:line="360" w:lineRule="auto"/>
        <w:ind w:left="720" w:hanging="360"/>
        <w:contextualSpacing w:val="1"/>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Análisis de la propuesta editorial.</w:t>
      </w:r>
    </w:p>
    <w:p w:rsidR="00000000" w:rsidDel="00000000" w:rsidP="00000000" w:rsidRDefault="00000000" w:rsidRPr="00000000" w14:paraId="00000011">
      <w:pPr>
        <w:spacing w:line="360" w:lineRule="auto"/>
        <w:ind w:left="360" w:firstLine="0"/>
        <w:contextualSpacing w:val="0"/>
        <w:jc w:val="both"/>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Propuesta Metodológica</w:t>
      </w:r>
    </w:p>
    <w:p w:rsidR="00000000" w:rsidDel="00000000" w:rsidP="00000000" w:rsidRDefault="00000000" w:rsidRPr="00000000" w14:paraId="00000012">
      <w:pPr>
        <w:spacing w:line="360" w:lineRule="auto"/>
        <w:ind w:left="360" w:firstLine="0"/>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La misma se centra en el dictado de clases teórico –prácticas, durante dichas clases el docente enfocará sus clases a aspectos importantes y aquellos que se consideren débiles de los contenidos dictados durante los años de carrera de los/as alumnos/as, los  futuros  docentes deben estar preparados para las mismas contando con la respectiva bibliografía.  Ello permitirá su participación activa a través de: consultas sobre aspectos en duda, solución adecuada de los trabajos prácticos, respuesta a los interrogatorios, intervención frecuente y efectiva en los debates.</w:t>
      </w:r>
    </w:p>
    <w:p w:rsidR="00000000" w:rsidDel="00000000" w:rsidP="00000000" w:rsidRDefault="00000000" w:rsidRPr="00000000" w14:paraId="00000013">
      <w:pPr>
        <w:spacing w:line="360" w:lineRule="auto"/>
        <w:ind w:left="360" w:firstLine="0"/>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La cátedra por intermedio del docente a cargo ha preparado una guía de trabajos prácticos, cuyo contenido  tiene que ver con prepararse para las prácticas, realizar reescrituras de secuencias didácticas, interpretar e interpelar las propias prácticas (pero también las ajenas), llevar un diario de clases, comunicar claramente los procesos realizados y  los resultados obtenidos y preparase-</w:t>
      </w:r>
    </w:p>
    <w:p w:rsidR="00000000" w:rsidDel="00000000" w:rsidP="00000000" w:rsidRDefault="00000000" w:rsidRPr="00000000" w14:paraId="00000014">
      <w:pPr>
        <w:spacing w:line="360" w:lineRule="auto"/>
        <w:ind w:left="360" w:firstLine="0"/>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 ser el último año del profesorado el  mayor  aporte  desde  el  área  se  realiza  durante  la  etapa  de  planificación. En esta instancia el/la alumno/a, en su rol docente, elaborará borradores de la secuencia didàctica que  será  corregido  por  los co-formadores en  primera  instancia  y  luego  por  el profesor  de  cátedra,  quedando  la  revisión  final  a  cargo  de  los  profesores  del  espacio  de  la Práctica. El  profesor  de  área  evaluará  el  trabajo  del futuro  docente  y  realizará  sucesivas  sugerencia  teniendo  en  cuenta  tanto  la  transposición  de saberes  como  el  grado  de  maduración  de los alumnos a quienes se impartirán las clases. Las presentaciones y sugerencias se realizarán en forma individua. Se  realizarán  además  reuniones  anteriores  y  posteriores  para  la  organización  y  evolución  del trabajo de los/las  alumnos/as, con los profesores de todos los espacios del Ateneo y los profesores del espacio de la práctica.</w:t>
      </w:r>
    </w:p>
    <w:p w:rsidR="00000000" w:rsidDel="00000000" w:rsidP="00000000" w:rsidRDefault="00000000" w:rsidRPr="00000000" w14:paraId="00000015">
      <w:pPr>
        <w:spacing w:line="360" w:lineRule="auto"/>
        <w:ind w:left="360" w:firstLine="0"/>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Los recursos utilizados serán: Material bibliográfico (utilizado a lo largo de los años de formación), guías de trabajo teórico-práctico, computadora.</w:t>
      </w:r>
    </w:p>
    <w:p w:rsidR="00000000" w:rsidDel="00000000" w:rsidP="00000000" w:rsidRDefault="00000000" w:rsidRPr="00000000" w14:paraId="00000016">
      <w:pPr>
        <w:spacing w:line="360" w:lineRule="auto"/>
        <w:ind w:left="360" w:firstLine="0"/>
        <w:contextualSpacing w:val="0"/>
        <w:jc w:val="both"/>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Evaluación</w:t>
      </w:r>
    </w:p>
    <w:p w:rsidR="00000000" w:rsidDel="00000000" w:rsidP="00000000" w:rsidRDefault="00000000" w:rsidRPr="00000000" w14:paraId="00000017">
      <w:pPr>
        <w:spacing w:line="360" w:lineRule="auto"/>
        <w:ind w:left="360" w:firstLine="0"/>
        <w:contextualSpacing w:val="0"/>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  evaluará  a  los  futuros  docentes de forma continua, procesual y a lo largo del año. Se deberá aprobar las instancias  de  evaluación planificadas durante  la cursada, sin examen final con nota mínima de 6 (seis) puntos para así acceder a  la  instancia  de  acreditación sin examen  final autorizado  institucionalmente.</w:t>
      </w:r>
    </w:p>
    <w:p w:rsidR="00000000" w:rsidDel="00000000" w:rsidP="00000000" w:rsidRDefault="00000000" w:rsidRPr="00000000" w14:paraId="00000018">
      <w:pPr>
        <w:spacing w:line="360" w:lineRule="auto"/>
        <w:ind w:left="360" w:firstLine="0"/>
        <w:contextualSpacing w:val="0"/>
        <w:jc w:val="both"/>
        <w:rPr>
          <w:rFonts w:ascii="Verdana" w:cs="Verdana" w:eastAsia="Verdana" w:hAnsi="Verdana"/>
          <w:b w:val="1"/>
          <w:sz w:val="24"/>
          <w:szCs w:val="24"/>
          <w:highlight w:val="white"/>
          <w:u w:val="single"/>
        </w:rPr>
      </w:pPr>
      <w:r w:rsidDel="00000000" w:rsidR="00000000" w:rsidRPr="00000000">
        <w:rPr>
          <w:rFonts w:ascii="Verdana" w:cs="Verdana" w:eastAsia="Verdana" w:hAnsi="Verdana"/>
          <w:b w:val="1"/>
          <w:sz w:val="24"/>
          <w:szCs w:val="24"/>
          <w:highlight w:val="white"/>
          <w:u w:val="single"/>
          <w:rtl w:val="0"/>
        </w:rPr>
        <w:t xml:space="preserve">Bibliografía</w:t>
      </w:r>
    </w:p>
    <w:p w:rsidR="00000000" w:rsidDel="00000000" w:rsidP="00000000" w:rsidRDefault="00000000" w:rsidRPr="00000000" w14:paraId="00000019">
      <w:pPr>
        <w:numPr>
          <w:ilvl w:val="0"/>
          <w:numId w:val="2"/>
        </w:numPr>
        <w:spacing w:line="360" w:lineRule="auto"/>
        <w:ind w:left="720" w:hanging="360"/>
        <w:contextualSpacing w:val="1"/>
        <w:jc w:val="both"/>
        <w:rPr>
          <w:rFonts w:ascii="Verdana" w:cs="Verdana" w:eastAsia="Verdana" w:hAnsi="Verdana"/>
          <w:b w:val="1"/>
          <w:sz w:val="24"/>
          <w:szCs w:val="24"/>
          <w:highlight w:val="white"/>
          <w:u w:val="none"/>
        </w:rPr>
      </w:pPr>
      <w:r w:rsidDel="00000000" w:rsidR="00000000" w:rsidRPr="00000000">
        <w:rPr>
          <w:rFonts w:ascii="Verdana" w:cs="Verdana" w:eastAsia="Verdana" w:hAnsi="Verdana"/>
          <w:highlight w:val="white"/>
          <w:rtl w:val="0"/>
        </w:rPr>
        <w:t xml:space="preserve">Dallura  Lucía –La  Matemática  y  su  Didáctica  en  el  Primero  y Segundo  Ciclo  de  la E.G.B.  (un enfoque constructivista).Ed. Aique.</w:t>
      </w:r>
    </w:p>
    <w:p w:rsidR="00000000" w:rsidDel="00000000" w:rsidP="00000000" w:rsidRDefault="00000000" w:rsidRPr="00000000" w14:paraId="0000001A">
      <w:pPr>
        <w:numPr>
          <w:ilvl w:val="0"/>
          <w:numId w:val="2"/>
        </w:numPr>
        <w:spacing w:line="360" w:lineRule="auto"/>
        <w:ind w:left="720" w:hanging="360"/>
        <w:contextualSpacing w:val="1"/>
        <w:jc w:val="both"/>
        <w:rPr>
          <w:rFonts w:ascii="Verdana" w:cs="Verdana" w:eastAsia="Verdana" w:hAnsi="Verdana"/>
          <w:b w:val="1"/>
          <w:sz w:val="24"/>
          <w:szCs w:val="24"/>
          <w:highlight w:val="white"/>
          <w:u w:val="none"/>
        </w:rPr>
      </w:pPr>
      <w:r w:rsidDel="00000000" w:rsidR="00000000" w:rsidRPr="00000000">
        <w:rPr>
          <w:rFonts w:ascii="Verdana" w:cs="Verdana" w:eastAsia="Verdana" w:hAnsi="Verdana"/>
          <w:highlight w:val="white"/>
          <w:rtl w:val="0"/>
        </w:rPr>
        <w:t xml:space="preserve">Enseñanza de la matemática entre el discurso y la práctica Ed. Aique. Lerner de Zunino.</w:t>
      </w:r>
    </w:p>
    <w:p w:rsidR="00000000" w:rsidDel="00000000" w:rsidP="00000000" w:rsidRDefault="00000000" w:rsidRPr="00000000" w14:paraId="0000001B">
      <w:pPr>
        <w:numPr>
          <w:ilvl w:val="0"/>
          <w:numId w:val="2"/>
        </w:numPr>
        <w:spacing w:line="360" w:lineRule="auto"/>
        <w:ind w:left="720" w:hanging="360"/>
        <w:contextualSpacing w:val="1"/>
        <w:jc w:val="both"/>
        <w:rPr>
          <w:rFonts w:ascii="Verdana" w:cs="Verdana" w:eastAsia="Verdana" w:hAnsi="Verdana"/>
          <w:b w:val="1"/>
          <w:sz w:val="24"/>
          <w:szCs w:val="24"/>
          <w:highlight w:val="white"/>
          <w:u w:val="none"/>
        </w:rPr>
      </w:pPr>
      <w:r w:rsidDel="00000000" w:rsidR="00000000" w:rsidRPr="00000000">
        <w:rPr>
          <w:rFonts w:ascii="Verdana" w:cs="Verdana" w:eastAsia="Verdana" w:hAnsi="Verdana"/>
          <w:highlight w:val="white"/>
          <w:rtl w:val="0"/>
        </w:rPr>
        <w:t xml:space="preserve">¡Piedra libre Matemática! –Ed.Aique Tonucci </w:t>
      </w:r>
    </w:p>
    <w:p w:rsidR="00000000" w:rsidDel="00000000" w:rsidP="00000000" w:rsidRDefault="00000000" w:rsidRPr="00000000" w14:paraId="0000001C">
      <w:pPr>
        <w:contextualSpacing w:val="0"/>
        <w:jc w:val="both"/>
        <w:rPr>
          <w:b w:val="1"/>
          <w:highlight w:val="white"/>
          <w:u w:val="singl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sectPr>
      <w:headerReference r:id="rId6"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4.0" w:type="dxa"/>
      <w:jc w:val="left"/>
      <w:tblInd w:w="0.0" w:type="dxa"/>
      <w:tblLayout w:type="fixed"/>
      <w:tblLook w:val="0000"/>
    </w:tblPr>
    <w:tblGrid>
      <w:gridCol w:w="8535"/>
      <w:gridCol w:w="1279"/>
      <w:tblGridChange w:id="0">
        <w:tblGrid>
          <w:gridCol w:w="8535"/>
          <w:gridCol w:w="1279"/>
        </w:tblGrid>
      </w:tblGridChange>
    </w:tblGrid>
    <w:tr>
      <w:trPr>
        <w:trHeight w:val="2760" w:hRule="atLeast"/>
      </w:trPr>
      <w:tc>
        <w:tcPr>
          <w:tcBorders>
            <w:right w:color="000000" w:space="0" w:sz="6"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Instituto de Educación Superior N° 7 </w:t>
          </w:r>
          <w:r w:rsidDel="00000000" w:rsidR="00000000" w:rsidRPr="00000000">
            <w:drawing>
              <wp:anchor allowOverlap="1" behindDoc="0" distB="0" distT="0" distL="114300" distR="114300" hidden="0" layoutInCell="1" locked="0" relativeHeight="0" simplePos="0">
                <wp:simplePos x="0" y="0"/>
                <wp:positionH relativeFrom="margin">
                  <wp:posOffset>3627120</wp:posOffset>
                </wp:positionH>
                <wp:positionV relativeFrom="paragraph">
                  <wp:posOffset>0</wp:posOffset>
                </wp:positionV>
                <wp:extent cx="1764000" cy="1076400"/>
                <wp:effectExtent b="0" l="0" r="0" t="0"/>
                <wp:wrapSquare wrapText="left"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4000" cy="1076400"/>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“Brigadier Estanislao López”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Profesorado de Educación Primari</w:t>
          </w:r>
          <w:r w:rsidDel="00000000" w:rsidR="00000000" w:rsidRPr="00000000">
            <w:rPr>
              <w:b w:val="1"/>
              <w:rtl w:val="0"/>
            </w:rPr>
            <w:t xml:space="preserve">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Ateneo </w:t>
          </w:r>
          <w:r w:rsidDel="00000000" w:rsidR="00000000" w:rsidRPr="00000000">
            <w:rPr>
              <w:b w:val="1"/>
              <w:rtl w:val="0"/>
            </w:rPr>
            <w:t xml:space="preserve">Matemática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w:t>
          </w:r>
          <w:r w:rsidDel="00000000" w:rsidR="00000000" w:rsidRPr="00000000">
            <w:rPr>
              <w:b w:val="1"/>
              <w:rtl w:val="0"/>
            </w:rPr>
            <w:t xml:space="preserve">esora Catramado, Sofía</w:t>
          </w:r>
          <w:r w:rsidDel="00000000" w:rsidR="00000000" w:rsidRPr="00000000">
            <w:rPr>
              <w:rtl w:val="0"/>
            </w:rPr>
          </w:r>
        </w:p>
      </w:tc>
      <w:tc>
        <w:tcPr>
          <w:tcBorders>
            <w:left w:color="000000" w:space="0" w:sz="6"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