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B57" w:rsidRDefault="00722B57" w:rsidP="00C65FE8">
      <w:pPr>
        <w:spacing w:after="0" w:line="276" w:lineRule="auto"/>
        <w:rPr>
          <w:b/>
          <w:color w:val="262626" w:themeColor="text1" w:themeTint="D9"/>
          <w:sz w:val="24"/>
          <w:szCs w:val="24"/>
        </w:rPr>
      </w:pPr>
      <w:r w:rsidRPr="00FF1AAD">
        <w:rPr>
          <w:rFonts w:cstheme="minorHAnsi"/>
          <w:b/>
          <w:i/>
          <w:noProof/>
          <w:color w:val="262626" w:themeColor="text1" w:themeTint="D9"/>
          <w:sz w:val="24"/>
          <w:szCs w:val="24"/>
          <w:lang w:val="en-US"/>
        </w:rPr>
        <w:drawing>
          <wp:inline distT="0" distB="0" distL="0" distR="0" wp14:anchorId="11F6F9E5" wp14:editId="4ADD7EC3">
            <wp:extent cx="925033" cy="905510"/>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4497" cy="944141"/>
                    </a:xfrm>
                    <a:prstGeom prst="rect">
                      <a:avLst/>
                    </a:prstGeom>
                    <a:noFill/>
                  </pic:spPr>
                </pic:pic>
              </a:graphicData>
            </a:graphic>
          </wp:inline>
        </w:drawing>
      </w:r>
      <w:bookmarkStart w:id="0" w:name="_GoBack"/>
      <w:bookmarkEnd w:id="0"/>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Institución:</w:t>
      </w:r>
      <w:r w:rsidRPr="001F27DE">
        <w:rPr>
          <w:color w:val="262626" w:themeColor="text1" w:themeTint="D9"/>
          <w:sz w:val="24"/>
          <w:szCs w:val="24"/>
        </w:rPr>
        <w:t xml:space="preserve"> Instituto de Educación Superior N° 7 “Brigadier Estanislao López”.</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Espacio curricular</w:t>
      </w:r>
      <w:r w:rsidRPr="001F27DE">
        <w:rPr>
          <w:color w:val="262626" w:themeColor="text1" w:themeTint="D9"/>
          <w:sz w:val="24"/>
          <w:szCs w:val="24"/>
        </w:rPr>
        <w:t xml:space="preserve">: </w:t>
      </w:r>
      <w:r w:rsidRPr="001F27DE">
        <w:rPr>
          <w:b/>
          <w:color w:val="262626" w:themeColor="text1" w:themeTint="D9"/>
          <w:sz w:val="24"/>
          <w:szCs w:val="24"/>
        </w:rPr>
        <w:t>CONOCIMIENTO Y EDUCACIÓN</w:t>
      </w:r>
      <w:r w:rsidRPr="001F27DE">
        <w:rPr>
          <w:color w:val="262626" w:themeColor="text1" w:themeTint="D9"/>
          <w:sz w:val="24"/>
          <w:szCs w:val="24"/>
        </w:rPr>
        <w:t xml:space="preserve"> </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Carrera:</w:t>
      </w:r>
      <w:r w:rsidRPr="001F27DE">
        <w:rPr>
          <w:color w:val="262626" w:themeColor="text1" w:themeTint="D9"/>
          <w:sz w:val="24"/>
          <w:szCs w:val="24"/>
        </w:rPr>
        <w:t xml:space="preserve"> Profesorado de Educación Primaria.</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Curso:</w:t>
      </w:r>
      <w:r w:rsidRPr="001F27DE">
        <w:rPr>
          <w:color w:val="262626" w:themeColor="text1" w:themeTint="D9"/>
          <w:sz w:val="24"/>
          <w:szCs w:val="24"/>
        </w:rPr>
        <w:t xml:space="preserve"> 2° año “B”.</w:t>
      </w:r>
    </w:p>
    <w:p w:rsidR="00D6149D" w:rsidRPr="001F27DE" w:rsidRDefault="00D6149D" w:rsidP="00C65FE8">
      <w:pPr>
        <w:spacing w:after="0" w:line="276" w:lineRule="auto"/>
        <w:rPr>
          <w:b/>
          <w:bCs/>
          <w:color w:val="262626" w:themeColor="text1" w:themeTint="D9"/>
          <w:sz w:val="24"/>
          <w:szCs w:val="24"/>
        </w:rPr>
      </w:pPr>
      <w:r w:rsidRPr="001F27DE">
        <w:rPr>
          <w:b/>
          <w:bCs/>
          <w:color w:val="262626" w:themeColor="text1" w:themeTint="D9"/>
          <w:sz w:val="24"/>
          <w:szCs w:val="24"/>
        </w:rPr>
        <w:t xml:space="preserve">Régimen de cursado: </w:t>
      </w:r>
      <w:r w:rsidR="00C65FE8" w:rsidRPr="001F27DE">
        <w:rPr>
          <w:bCs/>
          <w:color w:val="262626" w:themeColor="text1" w:themeTint="D9"/>
          <w:sz w:val="24"/>
          <w:szCs w:val="24"/>
        </w:rPr>
        <w:t>Cuatrimestral</w:t>
      </w:r>
      <w:r w:rsidRPr="001F27DE">
        <w:rPr>
          <w:bCs/>
          <w:color w:val="262626" w:themeColor="text1" w:themeTint="D9"/>
          <w:sz w:val="24"/>
          <w:szCs w:val="24"/>
        </w:rPr>
        <w:t>.</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Horas cátedras</w:t>
      </w:r>
      <w:r w:rsidRPr="001F27DE">
        <w:rPr>
          <w:color w:val="262626" w:themeColor="text1" w:themeTint="D9"/>
          <w:sz w:val="24"/>
          <w:szCs w:val="24"/>
        </w:rPr>
        <w:t>: 3 hs semanales.</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Período lectivo:</w:t>
      </w:r>
      <w:r w:rsidRPr="001F27DE">
        <w:rPr>
          <w:color w:val="262626" w:themeColor="text1" w:themeTint="D9"/>
          <w:sz w:val="24"/>
          <w:szCs w:val="24"/>
        </w:rPr>
        <w:t xml:space="preserve"> 2018</w:t>
      </w: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Profesora:</w:t>
      </w:r>
      <w:r w:rsidRPr="001F27DE">
        <w:rPr>
          <w:color w:val="262626" w:themeColor="text1" w:themeTint="D9"/>
          <w:sz w:val="24"/>
          <w:szCs w:val="24"/>
        </w:rPr>
        <w:t xml:space="preserve"> Graciela Arrieta</w:t>
      </w:r>
    </w:p>
    <w:p w:rsidR="00811413" w:rsidRPr="001F27DE" w:rsidRDefault="00811413" w:rsidP="00C65FE8">
      <w:pPr>
        <w:spacing w:after="0" w:line="276" w:lineRule="auto"/>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Marco referencial: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Este espacio curricular se propone como el ámbito propicio para la reflexión filosófica sobre el tema del conocimiento, uno de los ejes centrales del trabajo docente. Si bien formar un docente no es formar un científico, sí es importante que en su formación se juegue el “espíritu científico”, que aprenda a superar obstáculos epistemológicos, para que no obture su deseo de saber ni el deseo de saber de quienes aprenden con él.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Es importante que los estudiantes se compenetren del sentido histórico de la concepción de la ciencia, de los debates que hoy atraviesan la epistemología y de la significación social que se le atribuye hoy el conocimiento. Es fundamental que se aprenda a distinguir “información” de “conocimiento”, y que se aprenda a defender que la distribución democrática del conocimiento, y no meramente de la información, es componente central de la justicia social.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b/>
        <w:t xml:space="preserve">En este sentido se trata de formar conciencia gnoseológica, como un contexto amplio para comprender el conocimiento, aprendiendo a distinguir intenciones, intereses y actitudes, para ir formando la relación del docente con el conocimiento. </w:t>
      </w:r>
    </w:p>
    <w:p w:rsidR="00AC7E8D" w:rsidRPr="001F27DE" w:rsidRDefault="00AC7E8D" w:rsidP="00C65FE8">
      <w:pPr>
        <w:spacing w:after="0" w:line="276" w:lineRule="auto"/>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Propósitos:</w:t>
      </w:r>
    </w:p>
    <w:p w:rsidR="00D6149D" w:rsidRPr="001F27DE" w:rsidRDefault="00D6149D" w:rsidP="00C65FE8">
      <w:pPr>
        <w:numPr>
          <w:ilvl w:val="0"/>
          <w:numId w:val="1"/>
        </w:numPr>
        <w:spacing w:after="0" w:line="276" w:lineRule="auto"/>
        <w:jc w:val="both"/>
        <w:rPr>
          <w:color w:val="262626" w:themeColor="text1" w:themeTint="D9"/>
          <w:sz w:val="24"/>
          <w:szCs w:val="24"/>
        </w:rPr>
      </w:pPr>
      <w:r w:rsidRPr="001F27DE">
        <w:rPr>
          <w:color w:val="262626" w:themeColor="text1" w:themeTint="D9"/>
          <w:sz w:val="24"/>
          <w:szCs w:val="24"/>
        </w:rPr>
        <w:t>Apropiarse de un marco epistemológico amplio, que dé cuenta de la complejidad que revisten las relaciones entre educación y conocimiento; a fin de favorecer la toma de decisiones autónomas y fundamentadas respecto de sus prácticas docentes.</w:t>
      </w:r>
    </w:p>
    <w:p w:rsidR="00D6149D" w:rsidRPr="001F27DE" w:rsidRDefault="00D6149D" w:rsidP="00C65FE8">
      <w:pPr>
        <w:numPr>
          <w:ilvl w:val="0"/>
          <w:numId w:val="1"/>
        </w:numPr>
        <w:spacing w:after="0" w:line="276" w:lineRule="auto"/>
        <w:jc w:val="both"/>
        <w:rPr>
          <w:color w:val="262626" w:themeColor="text1" w:themeTint="D9"/>
          <w:sz w:val="24"/>
          <w:szCs w:val="24"/>
        </w:rPr>
      </w:pPr>
      <w:r w:rsidRPr="001F27DE">
        <w:rPr>
          <w:color w:val="262626" w:themeColor="text1" w:themeTint="D9"/>
          <w:sz w:val="24"/>
          <w:szCs w:val="24"/>
        </w:rPr>
        <w:t xml:space="preserve">Comprometerse e involucrarse en los discursos y debates propios de su campo científico, reconociendo el sentido político de la educación y su rol en la defensa de la distribución democrática del conocimiento. </w:t>
      </w:r>
    </w:p>
    <w:p w:rsidR="00D6149D" w:rsidRPr="001F27DE" w:rsidRDefault="00D6149D"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Contenidos: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w:t>
      </w:r>
      <w:r w:rsidR="00BA6D22" w:rsidRPr="001F27DE">
        <w:rPr>
          <w:b/>
          <w:color w:val="262626" w:themeColor="text1" w:themeTint="D9"/>
          <w:sz w:val="24"/>
          <w:szCs w:val="24"/>
        </w:rPr>
        <w:t xml:space="preserve"> Conocimiento y Educación</w:t>
      </w:r>
      <w:r w:rsidRPr="001F27DE">
        <w:rPr>
          <w:b/>
          <w:color w:val="262626" w:themeColor="text1" w:themeTint="D9"/>
          <w:sz w:val="24"/>
          <w:szCs w:val="24"/>
        </w:rPr>
        <w:t>.</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El conocimiento: concepto. Las formas del conocimiento: sentido común; discurso mítico-religioso; ciencia.</w:t>
      </w:r>
      <w:r w:rsidR="00DD5D97" w:rsidRPr="001F27DE">
        <w:rPr>
          <w:color w:val="262626" w:themeColor="text1" w:themeTint="D9"/>
          <w:sz w:val="24"/>
          <w:szCs w:val="24"/>
        </w:rPr>
        <w:t xml:space="preserve"> El conocimiento científico</w:t>
      </w:r>
      <w:r w:rsidR="00470C6E" w:rsidRPr="001F27DE">
        <w:rPr>
          <w:color w:val="262626" w:themeColor="text1" w:themeTint="D9"/>
          <w:sz w:val="24"/>
          <w:szCs w:val="24"/>
        </w:rPr>
        <w:t>. La ciencia moderna: concepto y características. Clasificación de las ciencias.</w:t>
      </w:r>
    </w:p>
    <w:p w:rsidR="00386298"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lastRenderedPageBreak/>
        <w:t xml:space="preserve">Las complejas relaciones entre educación y conocimiento. Consecuencias para la organización de los contenidos escolares: </w:t>
      </w:r>
      <w:r w:rsidR="00BA6D22" w:rsidRPr="001F27DE">
        <w:rPr>
          <w:color w:val="262626" w:themeColor="text1" w:themeTint="D9"/>
          <w:sz w:val="24"/>
          <w:szCs w:val="24"/>
        </w:rPr>
        <w:t>el formato escolar disciplinar, interdisciplinar y transversal para el conocimiento.</w:t>
      </w:r>
    </w:p>
    <w:p w:rsidR="00C65FE8" w:rsidRPr="001F27DE" w:rsidRDefault="00C65FE8" w:rsidP="00C65FE8">
      <w:pPr>
        <w:spacing w:after="0" w:line="276" w:lineRule="auto"/>
        <w:jc w:val="both"/>
        <w:rPr>
          <w:color w:val="262626" w:themeColor="text1" w:themeTint="D9"/>
          <w:sz w:val="24"/>
          <w:szCs w:val="24"/>
        </w:rPr>
      </w:pPr>
    </w:p>
    <w:p w:rsidR="002B24CA" w:rsidRPr="001F27DE" w:rsidRDefault="002B24CA"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II</w:t>
      </w:r>
      <w:r w:rsidRPr="001F27DE">
        <w:rPr>
          <w:b/>
          <w:color w:val="262626" w:themeColor="text1" w:themeTint="D9"/>
          <w:sz w:val="24"/>
          <w:szCs w:val="24"/>
        </w:rPr>
        <w:t>:</w:t>
      </w:r>
      <w:r w:rsidR="00386298" w:rsidRPr="001F27DE">
        <w:rPr>
          <w:b/>
          <w:color w:val="262626" w:themeColor="text1" w:themeTint="D9"/>
          <w:sz w:val="24"/>
          <w:szCs w:val="24"/>
        </w:rPr>
        <w:t xml:space="preserve"> El debate epistemológico</w:t>
      </w:r>
    </w:p>
    <w:p w:rsidR="00383F81" w:rsidRPr="001F27DE" w:rsidRDefault="00386298"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Aspectos significativos del debate epistemológico actual y su impacto en la escuela. Ciencia, tecnología y ética. La </w:t>
      </w:r>
      <w:r w:rsidR="00383F81" w:rsidRPr="001F27DE">
        <w:rPr>
          <w:color w:val="262626" w:themeColor="text1" w:themeTint="D9"/>
          <w:sz w:val="24"/>
          <w:szCs w:val="24"/>
        </w:rPr>
        <w:t xml:space="preserve"> ciencia y la </w:t>
      </w:r>
      <w:r w:rsidRPr="001F27DE">
        <w:rPr>
          <w:color w:val="262626" w:themeColor="text1" w:themeTint="D9"/>
          <w:sz w:val="24"/>
          <w:szCs w:val="24"/>
        </w:rPr>
        <w:t xml:space="preserve">diversidad de </w:t>
      </w:r>
      <w:r w:rsidR="00383F81" w:rsidRPr="001F27DE">
        <w:rPr>
          <w:color w:val="262626" w:themeColor="text1" w:themeTint="D9"/>
          <w:sz w:val="24"/>
          <w:szCs w:val="24"/>
        </w:rPr>
        <w:t xml:space="preserve">sus </w:t>
      </w:r>
      <w:r w:rsidRPr="001F27DE">
        <w:rPr>
          <w:color w:val="262626" w:themeColor="text1" w:themeTint="D9"/>
          <w:sz w:val="24"/>
          <w:szCs w:val="24"/>
        </w:rPr>
        <w:t>paradigm</w:t>
      </w:r>
      <w:r w:rsidR="00305989" w:rsidRPr="001F27DE">
        <w:rPr>
          <w:color w:val="262626" w:themeColor="text1" w:themeTint="D9"/>
          <w:sz w:val="24"/>
          <w:szCs w:val="24"/>
        </w:rPr>
        <w:t>as</w:t>
      </w:r>
      <w:r w:rsidR="00383F81" w:rsidRPr="001F27DE">
        <w:rPr>
          <w:color w:val="262626" w:themeColor="text1" w:themeTint="D9"/>
          <w:sz w:val="24"/>
          <w:szCs w:val="24"/>
        </w:rPr>
        <w:t xml:space="preserve">. </w:t>
      </w:r>
    </w:p>
    <w:p w:rsidR="0068732D" w:rsidRPr="001F27DE" w:rsidRDefault="0094244C"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w:t>
      </w:r>
      <w:r w:rsidR="0068732D" w:rsidRPr="001F27DE">
        <w:rPr>
          <w:color w:val="262626" w:themeColor="text1" w:themeTint="D9"/>
          <w:sz w:val="24"/>
          <w:szCs w:val="24"/>
        </w:rPr>
        <w:t>problemática del método en</w:t>
      </w:r>
      <w:r w:rsidRPr="001F27DE">
        <w:rPr>
          <w:color w:val="262626" w:themeColor="text1" w:themeTint="D9"/>
          <w:sz w:val="24"/>
          <w:szCs w:val="24"/>
        </w:rPr>
        <w:t xml:space="preserve"> ciencias </w:t>
      </w:r>
      <w:r w:rsidR="0068732D" w:rsidRPr="001F27DE">
        <w:rPr>
          <w:color w:val="262626" w:themeColor="text1" w:themeTint="D9"/>
          <w:sz w:val="24"/>
          <w:szCs w:val="24"/>
        </w:rPr>
        <w:t>naturales y sociales.</w:t>
      </w:r>
    </w:p>
    <w:p w:rsidR="00383F81" w:rsidRPr="001F27DE" w:rsidRDefault="00383F81" w:rsidP="00C65FE8">
      <w:pPr>
        <w:spacing w:after="0" w:line="276" w:lineRule="auto"/>
        <w:jc w:val="both"/>
        <w:rPr>
          <w:color w:val="262626" w:themeColor="text1" w:themeTint="D9"/>
          <w:sz w:val="24"/>
          <w:szCs w:val="24"/>
        </w:rPr>
      </w:pPr>
      <w:r w:rsidRPr="001F27DE">
        <w:rPr>
          <w:color w:val="262626" w:themeColor="text1" w:themeTint="D9"/>
          <w:sz w:val="24"/>
          <w:szCs w:val="24"/>
        </w:rPr>
        <w:t>La escuela y la formación de competencias científico-tecnológicas.</w:t>
      </w:r>
    </w:p>
    <w:p w:rsidR="0094244C" w:rsidRPr="001F27DE" w:rsidRDefault="0094244C" w:rsidP="00C65FE8">
      <w:pPr>
        <w:spacing w:after="0" w:line="276" w:lineRule="auto"/>
        <w:jc w:val="both"/>
        <w:rPr>
          <w:color w:val="262626" w:themeColor="text1" w:themeTint="D9"/>
          <w:sz w:val="24"/>
          <w:szCs w:val="24"/>
        </w:rPr>
      </w:pPr>
      <w:r w:rsidRPr="001F27DE">
        <w:rPr>
          <w:color w:val="262626" w:themeColor="text1" w:themeTint="D9"/>
          <w:sz w:val="24"/>
          <w:szCs w:val="24"/>
        </w:rPr>
        <w:t>La tensión epistemológica entre “ciencias de la educación” y “pedagogía”.</w:t>
      </w:r>
    </w:p>
    <w:p w:rsidR="00C65FE8" w:rsidRPr="001F27DE" w:rsidRDefault="00C65FE8" w:rsidP="00C65FE8">
      <w:pPr>
        <w:spacing w:after="0" w:line="276" w:lineRule="auto"/>
        <w:jc w:val="both"/>
        <w:rPr>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II</w:t>
      </w:r>
      <w:r w:rsidR="002B24CA" w:rsidRPr="001F27DE">
        <w:rPr>
          <w:b/>
          <w:color w:val="262626" w:themeColor="text1" w:themeTint="D9"/>
          <w:sz w:val="24"/>
          <w:szCs w:val="24"/>
          <w:u w:val="single"/>
        </w:rPr>
        <w:t>I</w:t>
      </w:r>
      <w:r w:rsidRPr="001F27DE">
        <w:rPr>
          <w:b/>
          <w:color w:val="262626" w:themeColor="text1" w:themeTint="D9"/>
          <w:sz w:val="24"/>
          <w:szCs w:val="24"/>
          <w:u w:val="single"/>
        </w:rPr>
        <w:t>:</w:t>
      </w:r>
      <w:r w:rsidRPr="001F27DE">
        <w:rPr>
          <w:b/>
          <w:color w:val="262626" w:themeColor="text1" w:themeTint="D9"/>
          <w:sz w:val="24"/>
          <w:szCs w:val="24"/>
        </w:rPr>
        <w:t xml:space="preserve"> La construcción social del conocimiento.</w:t>
      </w:r>
    </w:p>
    <w:p w:rsidR="00444D7A" w:rsidRPr="001F27DE" w:rsidRDefault="00444D7A" w:rsidP="00C65FE8">
      <w:pPr>
        <w:spacing w:after="0" w:line="276" w:lineRule="auto"/>
        <w:jc w:val="both"/>
        <w:rPr>
          <w:color w:val="262626" w:themeColor="text1" w:themeTint="D9"/>
          <w:sz w:val="24"/>
          <w:szCs w:val="24"/>
        </w:rPr>
      </w:pPr>
      <w:r w:rsidRPr="001F27DE">
        <w:rPr>
          <w:color w:val="262626" w:themeColor="text1" w:themeTint="D9"/>
          <w:sz w:val="24"/>
          <w:szCs w:val="24"/>
        </w:rPr>
        <w:t>Saberes y conocimientos en la resignificación social de la escuela. Los contenidos educativos entre el “</w:t>
      </w:r>
      <w:r w:rsidR="00383F81" w:rsidRPr="001F27DE">
        <w:rPr>
          <w:color w:val="262626" w:themeColor="text1" w:themeTint="D9"/>
          <w:sz w:val="24"/>
          <w:szCs w:val="24"/>
        </w:rPr>
        <w:t>v</w:t>
      </w:r>
      <w:r w:rsidRPr="001F27DE">
        <w:rPr>
          <w:color w:val="262626" w:themeColor="text1" w:themeTint="D9"/>
          <w:sz w:val="24"/>
          <w:szCs w:val="24"/>
        </w:rPr>
        <w:t>aciamiento” y el “rebasamiento”. La construcción social del contenido a</w:t>
      </w:r>
      <w:r w:rsidR="00811413" w:rsidRPr="001F27DE">
        <w:rPr>
          <w:color w:val="262626" w:themeColor="text1" w:themeTint="D9"/>
          <w:sz w:val="24"/>
          <w:szCs w:val="24"/>
        </w:rPr>
        <w:t xml:space="preserve"> enseñar. El contenido </w:t>
      </w:r>
      <w:r w:rsidRPr="001F27DE">
        <w:rPr>
          <w:color w:val="262626" w:themeColor="text1" w:themeTint="D9"/>
          <w:sz w:val="24"/>
          <w:szCs w:val="24"/>
        </w:rPr>
        <w:t xml:space="preserve"> como producto de un proceso de selección</w:t>
      </w:r>
      <w:r w:rsidR="00E74EF9" w:rsidRPr="001F27DE">
        <w:rPr>
          <w:color w:val="262626" w:themeColor="text1" w:themeTint="D9"/>
          <w:sz w:val="24"/>
          <w:szCs w:val="24"/>
        </w:rPr>
        <w:t xml:space="preserve"> político-</w:t>
      </w:r>
      <w:r w:rsidRPr="001F27DE">
        <w:rPr>
          <w:color w:val="262626" w:themeColor="text1" w:themeTint="D9"/>
          <w:sz w:val="24"/>
          <w:szCs w:val="24"/>
        </w:rPr>
        <w:t xml:space="preserve"> cultural. Campos</w:t>
      </w:r>
      <w:r w:rsidR="00E74EF9" w:rsidRPr="001F27DE">
        <w:rPr>
          <w:color w:val="262626" w:themeColor="text1" w:themeTint="D9"/>
          <w:sz w:val="24"/>
          <w:szCs w:val="24"/>
        </w:rPr>
        <w:t xml:space="preserve"> que intervienen en la producción y la selección del</w:t>
      </w:r>
      <w:r w:rsidR="00B11D42" w:rsidRPr="001F27DE">
        <w:rPr>
          <w:color w:val="262626" w:themeColor="text1" w:themeTint="D9"/>
          <w:sz w:val="24"/>
          <w:szCs w:val="24"/>
        </w:rPr>
        <w:t xml:space="preserve"> contenido. La distribución social del contenido.</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escuela </w:t>
      </w:r>
      <w:r w:rsidR="002243A5" w:rsidRPr="001F27DE">
        <w:rPr>
          <w:color w:val="262626" w:themeColor="text1" w:themeTint="D9"/>
          <w:sz w:val="24"/>
          <w:szCs w:val="24"/>
        </w:rPr>
        <w:t xml:space="preserve">como vigencia de lo público en la crisis del estado. </w:t>
      </w:r>
      <w:r w:rsidR="00B11D42" w:rsidRPr="001F27DE">
        <w:rPr>
          <w:color w:val="262626" w:themeColor="text1" w:themeTint="D9"/>
          <w:sz w:val="24"/>
          <w:szCs w:val="24"/>
        </w:rPr>
        <w:t>Escuela y justicia social. Justicia curricular: significados e implicaciones.</w:t>
      </w:r>
    </w:p>
    <w:p w:rsidR="00C65FE8" w:rsidRPr="001F27DE" w:rsidRDefault="00C65FE8" w:rsidP="00C65FE8">
      <w:pPr>
        <w:spacing w:after="0" w:line="276" w:lineRule="auto"/>
        <w:jc w:val="both"/>
        <w:rPr>
          <w:color w:val="262626" w:themeColor="text1" w:themeTint="D9"/>
          <w:sz w:val="24"/>
          <w:szCs w:val="24"/>
        </w:rPr>
      </w:pPr>
    </w:p>
    <w:p w:rsidR="002243A5" w:rsidRPr="001F27DE" w:rsidRDefault="002243A5" w:rsidP="00C65FE8">
      <w:pPr>
        <w:spacing w:after="0" w:line="276" w:lineRule="auto"/>
        <w:rPr>
          <w:b/>
          <w:color w:val="262626" w:themeColor="text1" w:themeTint="D9"/>
          <w:sz w:val="24"/>
          <w:szCs w:val="24"/>
        </w:rPr>
      </w:pPr>
      <w:r w:rsidRPr="001F27DE">
        <w:rPr>
          <w:b/>
          <w:color w:val="262626" w:themeColor="text1" w:themeTint="D9"/>
          <w:sz w:val="24"/>
          <w:szCs w:val="24"/>
          <w:u w:val="single"/>
        </w:rPr>
        <w:t>Unidad IV</w:t>
      </w:r>
      <w:r w:rsidRPr="001F27DE">
        <w:rPr>
          <w:b/>
          <w:color w:val="262626" w:themeColor="text1" w:themeTint="D9"/>
          <w:sz w:val="24"/>
          <w:szCs w:val="24"/>
        </w:rPr>
        <w:t xml:space="preserve">: </w:t>
      </w:r>
      <w:r w:rsidR="006246EB" w:rsidRPr="001F27DE">
        <w:rPr>
          <w:b/>
          <w:color w:val="262626" w:themeColor="text1" w:themeTint="D9"/>
          <w:sz w:val="24"/>
          <w:szCs w:val="24"/>
        </w:rPr>
        <w:t>La relación del docente con el conocimiento</w:t>
      </w:r>
    </w:p>
    <w:p w:rsidR="00811413" w:rsidRPr="001F27DE" w:rsidRDefault="008C4DA9" w:rsidP="00C65FE8">
      <w:pPr>
        <w:spacing w:after="0" w:line="276" w:lineRule="auto"/>
        <w:jc w:val="both"/>
        <w:rPr>
          <w:color w:val="262626" w:themeColor="text1" w:themeTint="D9"/>
          <w:sz w:val="24"/>
          <w:szCs w:val="24"/>
        </w:rPr>
      </w:pPr>
      <w:r w:rsidRPr="001F27DE">
        <w:rPr>
          <w:color w:val="262626" w:themeColor="text1" w:themeTint="D9"/>
          <w:sz w:val="24"/>
          <w:szCs w:val="24"/>
        </w:rPr>
        <w:t>Enseñar en tiempos de escepticismo e incertidumbres. Saberes docente</w:t>
      </w:r>
      <w:r w:rsidR="00811413" w:rsidRPr="001F27DE">
        <w:rPr>
          <w:color w:val="262626" w:themeColor="text1" w:themeTint="D9"/>
          <w:sz w:val="24"/>
          <w:szCs w:val="24"/>
        </w:rPr>
        <w:t>s</w:t>
      </w:r>
      <w:r w:rsidRPr="001F27DE">
        <w:rPr>
          <w:color w:val="262626" w:themeColor="text1" w:themeTint="D9"/>
          <w:sz w:val="24"/>
          <w:szCs w:val="24"/>
        </w:rPr>
        <w:t>.</w:t>
      </w:r>
      <w:r w:rsidR="00811413" w:rsidRPr="001F27DE">
        <w:rPr>
          <w:color w:val="262626" w:themeColor="text1" w:themeTint="D9"/>
          <w:sz w:val="24"/>
          <w:szCs w:val="24"/>
        </w:rPr>
        <w:t xml:space="preserve"> Límites del saber pedagógico y de los procesos de formación. Producción del saber pedagógico.</w:t>
      </w:r>
    </w:p>
    <w:p w:rsidR="006246EB" w:rsidRPr="001F27DE" w:rsidRDefault="00811413"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La traducción y la interpretación de los docentes del contenido. </w:t>
      </w:r>
    </w:p>
    <w:p w:rsidR="00811413" w:rsidRPr="001F27DE" w:rsidRDefault="00811413" w:rsidP="00C65FE8">
      <w:pPr>
        <w:spacing w:after="0" w:line="276" w:lineRule="auto"/>
        <w:jc w:val="both"/>
        <w:rPr>
          <w:color w:val="262626" w:themeColor="text1" w:themeTint="D9"/>
          <w:sz w:val="24"/>
          <w:szCs w:val="24"/>
        </w:rPr>
      </w:pPr>
      <w:r w:rsidRPr="001F27DE">
        <w:rPr>
          <w:color w:val="262626" w:themeColor="text1" w:themeTint="D9"/>
          <w:sz w:val="24"/>
          <w:szCs w:val="24"/>
        </w:rPr>
        <w:t>Los docentes como intelectuales.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color w:val="262626" w:themeColor="text1" w:themeTint="D9"/>
          <w:sz w:val="24"/>
          <w:szCs w:val="24"/>
        </w:rPr>
      </w:pPr>
      <w:r w:rsidRPr="001F27DE">
        <w:rPr>
          <w:b/>
          <w:color w:val="262626" w:themeColor="text1" w:themeTint="D9"/>
          <w:sz w:val="24"/>
          <w:szCs w:val="24"/>
        </w:rPr>
        <w:t>Propuesta metodológica:</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Se prevé un abordaje de este espacio curricular a través de la interrelación dialéctica entre teoría y pr</w:t>
      </w:r>
      <w:r w:rsidR="00424DF1" w:rsidRPr="001F27DE">
        <w:rPr>
          <w:color w:val="262626" w:themeColor="text1" w:themeTint="D9"/>
          <w:sz w:val="24"/>
          <w:szCs w:val="24"/>
        </w:rPr>
        <w:t>áctica. Se ha organizado en cuatro</w:t>
      </w:r>
      <w:r w:rsidRPr="001F27DE">
        <w:rPr>
          <w:color w:val="262626" w:themeColor="text1" w:themeTint="D9"/>
          <w:sz w:val="24"/>
          <w:szCs w:val="24"/>
        </w:rPr>
        <w:t xml:space="preserve"> ejes, en cada uno de ellos se incluyen temas específicos de estudio, actividades de distinto nivel de complejidad y su correspondiente bibliografía para su análisis. Lo importante es que los alumnos adquieran herramientas  teóricas y prácticas a fin de que puedan fundamentar y enriquecer su práctica.</w:t>
      </w:r>
    </w:p>
    <w:p w:rsidR="00424DF1" w:rsidRPr="001F27DE" w:rsidRDefault="00424DF1"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 xml:space="preserve">Modalidad de cursado y evaluación: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La materia admite en el presente ciclo lectivo las siguientes condiciones:</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a) Regular con cursado presencial.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b) Regular con cursado semipresencial.</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t xml:space="preserve">c) Libre. </w:t>
      </w:r>
    </w:p>
    <w:p w:rsidR="00AC7E8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a) Regular con cursado presencial:</w:t>
      </w:r>
      <w:r w:rsidRPr="001F27DE">
        <w:rPr>
          <w:color w:val="262626" w:themeColor="text1" w:themeTint="D9"/>
          <w:sz w:val="24"/>
          <w:szCs w:val="24"/>
        </w:rPr>
        <w:t xml:space="preserve"> El alumno debe cumplir como mínimo con el </w:t>
      </w:r>
      <w:r w:rsidRPr="001F27DE">
        <w:rPr>
          <w:color w:val="262626" w:themeColor="text1" w:themeTint="D9"/>
          <w:sz w:val="24"/>
          <w:szCs w:val="24"/>
          <w:u w:val="single"/>
        </w:rPr>
        <w:t>75% de asistencia</w:t>
      </w:r>
      <w:r w:rsidRPr="001F27DE">
        <w:rPr>
          <w:color w:val="262626" w:themeColor="text1" w:themeTint="D9"/>
          <w:sz w:val="24"/>
          <w:szCs w:val="24"/>
        </w:rPr>
        <w:t xml:space="preserve">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w:t>
      </w:r>
    </w:p>
    <w:p w:rsidR="00D6149D" w:rsidRPr="001F27DE" w:rsidRDefault="00D6149D" w:rsidP="00C65FE8">
      <w:pPr>
        <w:spacing w:after="0" w:line="276" w:lineRule="auto"/>
        <w:jc w:val="both"/>
        <w:rPr>
          <w:color w:val="262626" w:themeColor="text1" w:themeTint="D9"/>
          <w:sz w:val="24"/>
          <w:szCs w:val="24"/>
        </w:rPr>
      </w:pPr>
      <w:r w:rsidRPr="001F27DE">
        <w:rPr>
          <w:color w:val="262626" w:themeColor="text1" w:themeTint="D9"/>
          <w:sz w:val="24"/>
          <w:szCs w:val="24"/>
        </w:rPr>
        <w:lastRenderedPageBreak/>
        <w:t xml:space="preserve">Los estudiantes que no alcanzaren los requisitos establecidos precedentemente deberán promover con examen final. </w:t>
      </w:r>
    </w:p>
    <w:p w:rsidR="00D6149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b) Regular con cursado semipresencial:</w:t>
      </w:r>
      <w:r w:rsidRPr="001F27DE">
        <w:rPr>
          <w:color w:val="262626" w:themeColor="text1" w:themeTint="D9"/>
          <w:sz w:val="24"/>
          <w:szCs w:val="24"/>
        </w:rPr>
        <w:t xml:space="preserve"> El alumno debe cumplir como mínimo con el </w:t>
      </w:r>
      <w:r w:rsidRPr="001F27DE">
        <w:rPr>
          <w:color w:val="262626" w:themeColor="text1" w:themeTint="D9"/>
          <w:sz w:val="24"/>
          <w:szCs w:val="24"/>
          <w:u w:val="single"/>
        </w:rPr>
        <w:t>40% de asistencia</w:t>
      </w:r>
      <w:r w:rsidRPr="001F27DE">
        <w:rPr>
          <w:color w:val="262626" w:themeColor="text1" w:themeTint="D9"/>
          <w:sz w:val="24"/>
          <w:szCs w:val="24"/>
        </w:rPr>
        <w:t xml:space="preserve">. Aprobación del 100% de los trabajos prácticos. Aprobación con examen final ante tribunal (no tiene posibilidad de promoción directa). </w:t>
      </w:r>
    </w:p>
    <w:p w:rsidR="00D6149D" w:rsidRPr="001F27DE" w:rsidRDefault="00D6149D" w:rsidP="00C65FE8">
      <w:pPr>
        <w:spacing w:after="0" w:line="276" w:lineRule="auto"/>
        <w:jc w:val="both"/>
        <w:rPr>
          <w:color w:val="262626" w:themeColor="text1" w:themeTint="D9"/>
          <w:sz w:val="24"/>
          <w:szCs w:val="24"/>
        </w:rPr>
      </w:pPr>
      <w:r w:rsidRPr="001F27DE">
        <w:rPr>
          <w:i/>
          <w:color w:val="262626" w:themeColor="text1" w:themeTint="D9"/>
          <w:sz w:val="24"/>
          <w:szCs w:val="24"/>
        </w:rPr>
        <w:t>c) Libre:</w:t>
      </w:r>
      <w:r w:rsidRPr="001F27DE">
        <w:rPr>
          <w:color w:val="262626" w:themeColor="text1" w:themeTint="D9"/>
          <w:sz w:val="24"/>
          <w:szCs w:val="24"/>
        </w:rPr>
        <w:t xml:space="preserve">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unidades curriculares previas correlativas. Se solicita con carácter de obligatoriedad por lo menos dos encuentros con el profesor de la cátedra a fin de establecer pautas generales para optimizar el abordaje de los contenidos.</w:t>
      </w:r>
    </w:p>
    <w:p w:rsidR="00C65FE8" w:rsidRPr="001F27DE" w:rsidRDefault="00C65FE8" w:rsidP="00C65FE8">
      <w:pPr>
        <w:spacing w:after="0" w:line="276" w:lineRule="auto"/>
        <w:rPr>
          <w:b/>
          <w:color w:val="262626" w:themeColor="text1" w:themeTint="D9"/>
          <w:sz w:val="24"/>
          <w:szCs w:val="24"/>
        </w:rPr>
      </w:pPr>
    </w:p>
    <w:p w:rsidR="00D6149D" w:rsidRPr="001F27DE" w:rsidRDefault="00D6149D" w:rsidP="00C65FE8">
      <w:pPr>
        <w:spacing w:after="0" w:line="276" w:lineRule="auto"/>
        <w:rPr>
          <w:b/>
          <w:color w:val="262626" w:themeColor="text1" w:themeTint="D9"/>
          <w:sz w:val="24"/>
          <w:szCs w:val="24"/>
        </w:rPr>
      </w:pPr>
      <w:r w:rsidRPr="001F27DE">
        <w:rPr>
          <w:b/>
          <w:color w:val="262626" w:themeColor="text1" w:themeTint="D9"/>
          <w:sz w:val="24"/>
          <w:szCs w:val="24"/>
        </w:rPr>
        <w:t>Criterios de evaluación:</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Expresión oral y escrita acorde al rol a desempeñar.</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Claridad conceptual.</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Responsabilidad en la presentación y entrega de los trabajos prácticos en tiempo y forma.</w:t>
      </w:r>
    </w:p>
    <w:p w:rsidR="00D6149D" w:rsidRPr="001F27DE" w:rsidRDefault="00D6149D" w:rsidP="00C65FE8">
      <w:pPr>
        <w:numPr>
          <w:ilvl w:val="0"/>
          <w:numId w:val="1"/>
        </w:numPr>
        <w:spacing w:after="0" w:line="276" w:lineRule="auto"/>
        <w:rPr>
          <w:b/>
          <w:color w:val="262626" w:themeColor="text1" w:themeTint="D9"/>
          <w:sz w:val="24"/>
          <w:szCs w:val="24"/>
        </w:rPr>
      </w:pPr>
      <w:r w:rsidRPr="001F27DE">
        <w:rPr>
          <w:color w:val="262626" w:themeColor="text1" w:themeTint="D9"/>
          <w:sz w:val="24"/>
          <w:szCs w:val="24"/>
        </w:rPr>
        <w:t xml:space="preserve">Problematización de las prácticas educativas. </w:t>
      </w:r>
    </w:p>
    <w:p w:rsidR="00424DF1" w:rsidRPr="001F27DE" w:rsidRDefault="00424DF1" w:rsidP="00C65FE8">
      <w:pPr>
        <w:spacing w:after="0" w:line="276" w:lineRule="auto"/>
        <w:rPr>
          <w:b/>
          <w:color w:val="262626" w:themeColor="text1" w:themeTint="D9"/>
          <w:sz w:val="24"/>
          <w:szCs w:val="24"/>
        </w:rPr>
      </w:pPr>
    </w:p>
    <w:p w:rsidR="00D6149D" w:rsidRPr="001F27DE" w:rsidRDefault="00424DF1" w:rsidP="00C65FE8">
      <w:pPr>
        <w:spacing w:after="0" w:line="276" w:lineRule="auto"/>
        <w:rPr>
          <w:b/>
          <w:color w:val="262626" w:themeColor="text1" w:themeTint="D9"/>
          <w:sz w:val="24"/>
          <w:szCs w:val="24"/>
        </w:rPr>
      </w:pPr>
      <w:r w:rsidRPr="001F27DE">
        <w:rPr>
          <w:b/>
          <w:color w:val="262626" w:themeColor="text1" w:themeTint="D9"/>
          <w:sz w:val="24"/>
          <w:szCs w:val="24"/>
        </w:rPr>
        <w:t>Bibliografía obligatoria:</w:t>
      </w:r>
    </w:p>
    <w:p w:rsidR="00D6149D" w:rsidRPr="001F27DE" w:rsidRDefault="00D6149D"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Carlos Cullen</w:t>
      </w:r>
      <w:r w:rsidRPr="001F27DE">
        <w:rPr>
          <w:color w:val="262626" w:themeColor="text1" w:themeTint="D9"/>
          <w:sz w:val="24"/>
          <w:szCs w:val="24"/>
        </w:rPr>
        <w:t xml:space="preserve"> (1997) “Crítica de las razones de educar”. </w:t>
      </w:r>
      <w:r w:rsidR="000106E7" w:rsidRPr="001F27DE">
        <w:rPr>
          <w:color w:val="262626" w:themeColor="text1" w:themeTint="D9"/>
          <w:sz w:val="24"/>
          <w:szCs w:val="24"/>
        </w:rPr>
        <w:t xml:space="preserve">Ed. </w:t>
      </w:r>
      <w:r w:rsidRPr="001F27DE">
        <w:rPr>
          <w:color w:val="262626" w:themeColor="text1" w:themeTint="D9"/>
          <w:sz w:val="24"/>
          <w:szCs w:val="24"/>
        </w:rPr>
        <w:t xml:space="preserve">Paidós. Bs. As. </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Carbonelli Marcos y Otros</w:t>
      </w:r>
      <w:r w:rsidRPr="001F27DE">
        <w:rPr>
          <w:color w:val="262626" w:themeColor="text1" w:themeTint="D9"/>
          <w:sz w:val="24"/>
          <w:szCs w:val="24"/>
        </w:rPr>
        <w:t xml:space="preserve"> “Introducción al conocimiento científico y a la metodología de la investigación”</w:t>
      </w:r>
      <w:r w:rsidRPr="001F27DE">
        <w:rPr>
          <w:b/>
          <w:color w:val="262626" w:themeColor="text1" w:themeTint="D9"/>
          <w:sz w:val="24"/>
          <w:szCs w:val="24"/>
        </w:rPr>
        <w:t xml:space="preserve">. </w:t>
      </w:r>
      <w:r w:rsidRPr="001F27DE">
        <w:rPr>
          <w:color w:val="262626" w:themeColor="text1" w:themeTint="D9"/>
          <w:sz w:val="24"/>
          <w:szCs w:val="24"/>
        </w:rPr>
        <w:t>Ed. Universidad Nacional Arturo Jauretche.</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 xml:space="preserve">Esther Díaz </w:t>
      </w:r>
      <w:r w:rsidRPr="001F27DE">
        <w:rPr>
          <w:color w:val="262626" w:themeColor="text1" w:themeTint="D9"/>
          <w:sz w:val="24"/>
          <w:szCs w:val="24"/>
        </w:rPr>
        <w:t>(2010). “Metodología de las Ciencias Sociales”. Ed. Biblos.</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lang w:val="en-US"/>
        </w:rPr>
      </w:pPr>
      <w:r w:rsidRPr="001F27DE">
        <w:rPr>
          <w:b/>
          <w:color w:val="262626" w:themeColor="text1" w:themeTint="D9"/>
          <w:sz w:val="24"/>
          <w:szCs w:val="24"/>
          <w:lang w:val="en-US"/>
        </w:rPr>
        <w:t xml:space="preserve">Robert Connell </w:t>
      </w:r>
      <w:r w:rsidRPr="001F27DE">
        <w:rPr>
          <w:color w:val="262626" w:themeColor="text1" w:themeTint="D9"/>
          <w:sz w:val="24"/>
          <w:szCs w:val="24"/>
          <w:lang w:val="en-US"/>
        </w:rPr>
        <w:t>(2009) “La</w:t>
      </w:r>
      <w:r w:rsidRPr="00722B57">
        <w:rPr>
          <w:color w:val="262626" w:themeColor="text1" w:themeTint="D9"/>
          <w:sz w:val="24"/>
          <w:szCs w:val="24"/>
          <w:lang w:val="en-US"/>
        </w:rPr>
        <w:t xml:space="preserve"> </w:t>
      </w:r>
      <w:proofErr w:type="spellStart"/>
      <w:r w:rsidRPr="00722B57">
        <w:rPr>
          <w:color w:val="262626" w:themeColor="text1" w:themeTint="D9"/>
          <w:sz w:val="24"/>
          <w:szCs w:val="24"/>
          <w:lang w:val="en-US"/>
        </w:rPr>
        <w:t>justicia</w:t>
      </w:r>
      <w:proofErr w:type="spellEnd"/>
      <w:r w:rsidRPr="001F27DE">
        <w:rPr>
          <w:color w:val="262626" w:themeColor="text1" w:themeTint="D9"/>
          <w:sz w:val="24"/>
          <w:szCs w:val="24"/>
          <w:lang w:val="en-US"/>
        </w:rPr>
        <w:t xml:space="preserve"> curricular”. Ed. LPP. Bs. As.</w:t>
      </w:r>
    </w:p>
    <w:p w:rsidR="00451586"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Terigi Flavia</w:t>
      </w:r>
      <w:r w:rsidRPr="001F27DE">
        <w:rPr>
          <w:color w:val="262626" w:themeColor="text1" w:themeTint="D9"/>
          <w:sz w:val="24"/>
          <w:szCs w:val="24"/>
        </w:rPr>
        <w:t xml:space="preserve"> (2013) VIII Foro Latinoamericano de Educación: Saberes docentes: qué debe saber un docente y por qué. </w:t>
      </w:r>
      <w:r w:rsidR="00364B68" w:rsidRPr="001F27DE">
        <w:rPr>
          <w:color w:val="262626" w:themeColor="text1" w:themeTint="D9"/>
          <w:sz w:val="24"/>
          <w:szCs w:val="24"/>
        </w:rPr>
        <w:t>Ed. Santillana</w:t>
      </w:r>
      <w:r w:rsidRPr="001F27DE">
        <w:rPr>
          <w:color w:val="262626" w:themeColor="text1" w:themeTint="D9"/>
          <w:sz w:val="24"/>
          <w:szCs w:val="24"/>
        </w:rPr>
        <w:t>.</w:t>
      </w:r>
      <w:r w:rsidR="000106E7" w:rsidRPr="001F27DE">
        <w:rPr>
          <w:color w:val="262626" w:themeColor="text1" w:themeTint="D9"/>
          <w:sz w:val="24"/>
          <w:szCs w:val="24"/>
        </w:rPr>
        <w:t xml:space="preserve"> </w:t>
      </w:r>
      <w:r w:rsidRPr="001F27DE">
        <w:rPr>
          <w:color w:val="262626" w:themeColor="text1" w:themeTint="D9"/>
          <w:sz w:val="24"/>
          <w:szCs w:val="24"/>
        </w:rPr>
        <w:t>Bs As</w:t>
      </w:r>
    </w:p>
    <w:p w:rsidR="00D6149D" w:rsidRPr="001F27DE" w:rsidRDefault="00D6149D"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Henry Giroux</w:t>
      </w:r>
      <w:r w:rsidRPr="001F27DE">
        <w:rPr>
          <w:color w:val="262626" w:themeColor="text1" w:themeTint="D9"/>
          <w:sz w:val="24"/>
          <w:szCs w:val="24"/>
        </w:rPr>
        <w:t xml:space="preserve"> (1997) “Los profesores como intelectuales: hacia una pedagogía crítica del aprendizaje.” Paidós.</w:t>
      </w:r>
    </w:p>
    <w:p w:rsidR="000106E7" w:rsidRPr="001F27DE" w:rsidRDefault="00451586" w:rsidP="00C65FE8">
      <w:pPr>
        <w:pStyle w:val="Prrafodelista"/>
        <w:numPr>
          <w:ilvl w:val="0"/>
          <w:numId w:val="3"/>
        </w:numPr>
        <w:spacing w:after="0" w:line="276" w:lineRule="auto"/>
        <w:jc w:val="both"/>
        <w:rPr>
          <w:color w:val="262626" w:themeColor="text1" w:themeTint="D9"/>
          <w:sz w:val="24"/>
          <w:szCs w:val="24"/>
        </w:rPr>
      </w:pPr>
      <w:r w:rsidRPr="001F27DE">
        <w:rPr>
          <w:b/>
          <w:color w:val="262626" w:themeColor="text1" w:themeTint="D9"/>
          <w:sz w:val="24"/>
          <w:szCs w:val="24"/>
        </w:rPr>
        <w:t>Gvirtz Silvina</w:t>
      </w:r>
      <w:r w:rsidR="00424DF1" w:rsidRPr="001F27DE">
        <w:rPr>
          <w:b/>
          <w:color w:val="262626" w:themeColor="text1" w:themeTint="D9"/>
          <w:sz w:val="24"/>
          <w:szCs w:val="24"/>
        </w:rPr>
        <w:t xml:space="preserve"> y Otro</w:t>
      </w:r>
      <w:r w:rsidR="00424DF1" w:rsidRPr="001F27DE">
        <w:rPr>
          <w:color w:val="262626" w:themeColor="text1" w:themeTint="D9"/>
          <w:sz w:val="24"/>
          <w:szCs w:val="24"/>
        </w:rPr>
        <w:t>. “El ABC de la tarea docente: currículum y enseñanza”. Ed. Aique. Bs. As.</w:t>
      </w:r>
    </w:p>
    <w:p w:rsidR="00364B68" w:rsidRPr="001F27DE" w:rsidRDefault="00364B68" w:rsidP="00364B68">
      <w:pPr>
        <w:numPr>
          <w:ilvl w:val="0"/>
          <w:numId w:val="3"/>
        </w:numPr>
        <w:spacing w:after="0" w:line="240" w:lineRule="auto"/>
        <w:rPr>
          <w:color w:val="262626" w:themeColor="text1" w:themeTint="D9"/>
          <w:sz w:val="24"/>
          <w:szCs w:val="24"/>
        </w:rPr>
      </w:pPr>
      <w:r w:rsidRPr="001F27DE">
        <w:rPr>
          <w:b/>
          <w:color w:val="262626" w:themeColor="text1" w:themeTint="D9"/>
          <w:sz w:val="24"/>
          <w:szCs w:val="24"/>
        </w:rPr>
        <w:t>Francois Dubet</w:t>
      </w:r>
      <w:r w:rsidRPr="001F27DE">
        <w:rPr>
          <w:color w:val="262626" w:themeColor="text1" w:themeTint="D9"/>
          <w:sz w:val="24"/>
          <w:szCs w:val="24"/>
        </w:rPr>
        <w:t xml:space="preserve"> (2004) “La escuela de las oportunidades.” Ed. Gedisa.</w:t>
      </w:r>
    </w:p>
    <w:p w:rsidR="00C65FE8" w:rsidRDefault="00D6149D" w:rsidP="00364B68">
      <w:pPr>
        <w:pStyle w:val="Prrafodelista"/>
        <w:spacing w:after="0" w:line="276" w:lineRule="auto"/>
        <w:jc w:val="both"/>
        <w:rPr>
          <w:sz w:val="24"/>
          <w:szCs w:val="24"/>
        </w:rPr>
      </w:pPr>
      <w:r w:rsidRPr="00424DF1">
        <w:rPr>
          <w:sz w:val="24"/>
          <w:szCs w:val="24"/>
        </w:rPr>
        <w:tab/>
      </w:r>
    </w:p>
    <w:p w:rsidR="00C65FE8" w:rsidRDefault="00722B57" w:rsidP="00C65FE8">
      <w:pPr>
        <w:pStyle w:val="Prrafodelista"/>
        <w:numPr>
          <w:ilvl w:val="0"/>
          <w:numId w:val="3"/>
        </w:numPr>
        <w:spacing w:after="0" w:line="276" w:lineRule="auto"/>
        <w:rPr>
          <w:sz w:val="24"/>
          <w:szCs w:val="24"/>
        </w:rPr>
      </w:pPr>
      <w:hyperlink r:id="rId6" w:history="1">
        <w:r w:rsidR="00C65FE8" w:rsidRPr="007B7377">
          <w:rPr>
            <w:rStyle w:val="Hipervnculo"/>
            <w:sz w:val="24"/>
            <w:szCs w:val="24"/>
          </w:rPr>
          <w:t>http://www.las400clases.org/formacion/videos/filosofia-y-justicia-educativa</w:t>
        </w:r>
      </w:hyperlink>
    </w:p>
    <w:p w:rsidR="00D6149D" w:rsidRPr="00424DF1" w:rsidRDefault="00D6149D" w:rsidP="00C65FE8">
      <w:pPr>
        <w:pStyle w:val="Prrafodelista"/>
        <w:spacing w:after="0" w:line="276" w:lineRule="auto"/>
        <w:rPr>
          <w:sz w:val="24"/>
          <w:szCs w:val="24"/>
        </w:rPr>
      </w:pPr>
      <w:r w:rsidRPr="00424DF1">
        <w:rPr>
          <w:sz w:val="24"/>
          <w:szCs w:val="24"/>
        </w:rPr>
        <w:tab/>
      </w:r>
      <w:r w:rsidRPr="00424DF1">
        <w:rPr>
          <w:sz w:val="24"/>
          <w:szCs w:val="24"/>
        </w:rPr>
        <w:tab/>
      </w:r>
      <w:r w:rsidRPr="00424DF1">
        <w:rPr>
          <w:sz w:val="24"/>
          <w:szCs w:val="24"/>
        </w:rPr>
        <w:tab/>
      </w:r>
      <w:r w:rsidRPr="00424DF1">
        <w:rPr>
          <w:sz w:val="24"/>
          <w:szCs w:val="24"/>
        </w:rPr>
        <w:tab/>
      </w:r>
      <w:r w:rsidRPr="00424DF1">
        <w:rPr>
          <w:sz w:val="24"/>
          <w:szCs w:val="24"/>
        </w:rPr>
        <w:tab/>
      </w:r>
      <w:r w:rsidRPr="00424DF1">
        <w:rPr>
          <w:sz w:val="24"/>
          <w:szCs w:val="24"/>
        </w:rPr>
        <w:tab/>
      </w:r>
    </w:p>
    <w:p w:rsidR="001719AE" w:rsidRDefault="001719AE" w:rsidP="00C65FE8">
      <w:pPr>
        <w:spacing w:after="0" w:line="276" w:lineRule="auto"/>
        <w:rPr>
          <w:sz w:val="24"/>
          <w:szCs w:val="24"/>
        </w:rPr>
      </w:pPr>
    </w:p>
    <w:p w:rsidR="00364B68" w:rsidRDefault="00364B68" w:rsidP="00C65FE8">
      <w:pPr>
        <w:spacing w:after="0" w:line="276" w:lineRule="auto"/>
        <w:rPr>
          <w:sz w:val="24"/>
          <w:szCs w:val="24"/>
        </w:rPr>
      </w:pPr>
    </w:p>
    <w:p w:rsidR="00364B68" w:rsidRPr="00AC7E8D" w:rsidRDefault="00364B68" w:rsidP="00C65FE8">
      <w:pPr>
        <w:spacing w:after="0" w:line="276" w:lineRule="auto"/>
        <w:rPr>
          <w:sz w:val="24"/>
          <w:szCs w:val="24"/>
        </w:rPr>
      </w:pPr>
      <w:r>
        <w:rPr>
          <w:sz w:val="24"/>
          <w:szCs w:val="24"/>
        </w:rPr>
        <w:t xml:space="preserve">                                                                                                           Prof. GRACIELA ARRIETA</w:t>
      </w:r>
    </w:p>
    <w:sectPr w:rsidR="00364B68" w:rsidRPr="00AC7E8D" w:rsidSect="00C65FE8">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677E7"/>
    <w:multiLevelType w:val="hybridMultilevel"/>
    <w:tmpl w:val="B5088FFC"/>
    <w:lvl w:ilvl="0" w:tplc="155E22D6">
      <w:start w:val="1"/>
      <w:numFmt w:val="bullet"/>
      <w:lvlText w:val="-"/>
      <w:lvlJc w:val="left"/>
      <w:pPr>
        <w:ind w:left="720" w:hanging="360"/>
      </w:pPr>
      <w:rPr>
        <w:rFonts w:ascii="Calibri" w:eastAsia="Calibri" w:hAnsi="Calibri"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6B86554"/>
    <w:multiLevelType w:val="hybridMultilevel"/>
    <w:tmpl w:val="4874E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C0DD5"/>
    <w:multiLevelType w:val="hybridMultilevel"/>
    <w:tmpl w:val="0A62ABE2"/>
    <w:lvl w:ilvl="0" w:tplc="8AE4EF1E">
      <w:numFmt w:val="bullet"/>
      <w:lvlText w:val=""/>
      <w:lvlJc w:val="left"/>
      <w:pPr>
        <w:ind w:left="720" w:hanging="360"/>
      </w:pPr>
      <w:rPr>
        <w:rFonts w:ascii="Symbol" w:eastAsia="Calibr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9D"/>
    <w:rsid w:val="000106E7"/>
    <w:rsid w:val="001719AE"/>
    <w:rsid w:val="001F27DE"/>
    <w:rsid w:val="002243A5"/>
    <w:rsid w:val="002B24CA"/>
    <w:rsid w:val="00305989"/>
    <w:rsid w:val="00364B68"/>
    <w:rsid w:val="00370E29"/>
    <w:rsid w:val="00383F81"/>
    <w:rsid w:val="0038567B"/>
    <w:rsid w:val="0038573B"/>
    <w:rsid w:val="00386298"/>
    <w:rsid w:val="00424DF1"/>
    <w:rsid w:val="00444D7A"/>
    <w:rsid w:val="00451586"/>
    <w:rsid w:val="00470C6E"/>
    <w:rsid w:val="006246EB"/>
    <w:rsid w:val="0068732D"/>
    <w:rsid w:val="006C2443"/>
    <w:rsid w:val="00722B57"/>
    <w:rsid w:val="00761727"/>
    <w:rsid w:val="00811413"/>
    <w:rsid w:val="008C4DA9"/>
    <w:rsid w:val="00926993"/>
    <w:rsid w:val="0094244C"/>
    <w:rsid w:val="00AC7E8D"/>
    <w:rsid w:val="00B11D42"/>
    <w:rsid w:val="00BA6D22"/>
    <w:rsid w:val="00C65FE8"/>
    <w:rsid w:val="00D6149D"/>
    <w:rsid w:val="00DD5D97"/>
    <w:rsid w:val="00E5119C"/>
    <w:rsid w:val="00E7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DB89-C4C3-4FF8-8DB5-BEDD4364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4DF1"/>
    <w:pPr>
      <w:ind w:left="720"/>
      <w:contextualSpacing/>
    </w:pPr>
  </w:style>
  <w:style w:type="character" w:styleId="Hipervnculo">
    <w:name w:val="Hyperlink"/>
    <w:basedOn w:val="Fuentedeprrafopredeter"/>
    <w:uiPriority w:val="99"/>
    <w:unhideWhenUsed/>
    <w:rsid w:val="00C65F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s400clases.org/formacion/videos/filosofia-y-justicia-educati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cp:lastPrinted>2018-11-13T15:59:00Z</cp:lastPrinted>
  <dcterms:created xsi:type="dcterms:W3CDTF">2018-11-13T16:01:00Z</dcterms:created>
  <dcterms:modified xsi:type="dcterms:W3CDTF">2018-11-13T19:05:00Z</dcterms:modified>
</cp:coreProperties>
</file>