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Carrera: Profesorado de Educación Primaria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-1095374</wp:posOffset>
            </wp:positionH>
            <wp:positionV relativeFrom="paragraph">
              <wp:posOffset>0</wp:posOffset>
            </wp:positionV>
            <wp:extent cx="1476375" cy="1185863"/>
            <wp:effectExtent b="0" l="0" r="0" t="0"/>
            <wp:wrapTopAndBottom distB="0" dist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619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Plan de estudio:528/2009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Espacio curricular:Taller de Práctica II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Profesores: Cucatto, Adriana; Medei, M. Laura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Cursado: Anual/Presencial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Año:2021</w:t>
      </w: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355600</wp:posOffset>
                </wp:positionV>
                <wp:extent cx="7011035" cy="21970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845245" y="3674908"/>
                          <a:ext cx="7001510" cy="210184"/>
                        </a:xfrm>
                        <a:custGeom>
                          <a:rect b="b" l="l" r="r" t="t"/>
                          <a:pathLst>
                            <a:path extrusionOk="0" h="210184" w="7001510">
                              <a:moveTo>
                                <a:pt x="0" y="0"/>
                              </a:moveTo>
                              <a:lnTo>
                                <a:pt x="0" y="210184"/>
                              </a:lnTo>
                              <a:lnTo>
                                <a:pt x="7001510" y="210184"/>
                              </a:lnTo>
                              <a:lnTo>
                                <a:pt x="7001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355600</wp:posOffset>
                </wp:positionV>
                <wp:extent cx="7011035" cy="21970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1035" cy="21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1701800</wp:posOffset>
                </wp:positionV>
                <wp:extent cx="6546850" cy="32670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77338" y="2151225"/>
                          <a:ext cx="6537325" cy="3257550"/>
                        </a:xfrm>
                        <a:custGeom>
                          <a:rect b="b" l="l" r="r" t="t"/>
                          <a:pathLst>
                            <a:path extrusionOk="0" h="3257550" w="6537325">
                              <a:moveTo>
                                <a:pt x="0" y="0"/>
                              </a:moveTo>
                              <a:lnTo>
                                <a:pt x="0" y="3257550"/>
                              </a:lnTo>
                              <a:lnTo>
                                <a:pt x="6537325" y="3257550"/>
                              </a:lnTo>
                              <a:lnTo>
                                <a:pt x="6537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CARRERA: Profesorado de Educación Primaria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PLAN DE ESTUDIO: 528/2009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ESPACIO CURRICULAR: Taller de Práctica 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PROFESORES: Cucatto, Adriana-Medei, María Laura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CURSADO: Anual-Presencial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AÑO: 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1701800</wp:posOffset>
                </wp:positionV>
                <wp:extent cx="6546850" cy="32670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850" cy="326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  <w:color w:val="0070c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PRIMER CUATRIMESTRE</w:t>
      </w:r>
    </w:p>
    <w:p w:rsidR="00000000" w:rsidDel="00000000" w:rsidP="00000000" w:rsidRDefault="00000000" w:rsidRPr="00000000" w14:paraId="0000000C">
      <w:pPr>
        <w:pageBreakBefore w:val="0"/>
        <w:pBdr>
          <w:bottom w:color="c55911" w:space="1" w:sz="18" w:val="single"/>
        </w:pBdr>
        <w:shd w:fill="ffffff" w:val="clear"/>
        <w:spacing w:after="0" w:line="360" w:lineRule="auto"/>
        <w:jc w:val="both"/>
        <w:rPr>
          <w:b w:val="1"/>
          <w:color w:val="4472c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rtl w:val="0"/>
        </w:rPr>
        <w:t xml:space="preserve">Formato curricular TALLER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bottom w:color="c55911" w:space="1" w:sz="18" w:val="single"/>
        </w:pBdr>
        <w:shd w:fill="ffffff" w:val="clear"/>
        <w:spacing w:after="0" w:line="360" w:lineRule="auto"/>
        <w:ind w:firstLine="709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bottom w:color="c55911" w:space="1" w:sz="18" w:val="single"/>
        </w:pBdr>
        <w:shd w:fill="ffffff" w:val="clear"/>
        <w:spacing w:after="0" w:line="360" w:lineRule="auto"/>
        <w:ind w:firstLine="709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MARCO REFERENCIAL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este espacio curricular se espera que los estudiantes se familiaricen,  </w:t>
      </w:r>
      <w:r w:rsidDel="00000000" w:rsidR="00000000" w:rsidRPr="00000000">
        <w:rPr>
          <w:rFonts w:ascii="Arial" w:cs="Arial" w:eastAsia="Arial" w:hAnsi="Arial"/>
          <w:rtl w:val="0"/>
        </w:rPr>
        <w:t xml:space="preserve">mediante análisis y reflexión con una experiencia socio-comunitaria que les permita sentir la educación en su dimensión de práctica social.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tenderá a que se comprenda el quehacer educativo desde su perspectiva social, por lo que el concepto de diversidad socio-cultural atravesará el desarrollo del taller.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articulará con lo trabajado en Didáctica general y en las áreas específicas.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profundizarán algunos instrumentos del Taller I, como la observación, la narrativa y la entrevista y se incluirán otros como el diario de clases, el portafolios, el análisis de documentos y dispositivos de sistematización y comunicación de las experiencias socio-comunitarias.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trabajará con simulaciones, análisis de casos, observaciones, construcciones de pequeños proyectos pedagógicos.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PROPÓSITOS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Presentar la bibliografía específica para que los alumnos se apropien de la temática propuesta.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Articular lo trabajado con todas las áreas correspondientes al 2º año.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Reforzar los contenidos trabajados en el Taller I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Proponer análisis de casos en relación a lo vivenciado en sus observaciones, implementadas mediante la técnica de simulación de clases.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b w:val="1"/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OBJETIVOS: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los futuros docentes logren: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Comprender el quehacer educativo como profundamente social.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Analizar documentos curriculares.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Conocer el ámbito escolar, teniendo en cuenta la diversidad socio-cultural actual.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Profundizar instrumentos trabajados en el año anterior</w:t>
      </w:r>
    </w:p>
    <w:p w:rsidR="00000000" w:rsidDel="00000000" w:rsidP="00000000" w:rsidRDefault="00000000" w:rsidRPr="00000000" w14:paraId="00000027">
      <w:pPr>
        <w:pageBreakBefore w:val="0"/>
        <w:pBdr>
          <w:bottom w:color="c55911" w:space="1" w:sz="18" w:val="single"/>
        </w:pBdr>
        <w:shd w:fill="auto" w:val="clear"/>
        <w:spacing w:after="0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bottom w:color="c55911" w:space="1" w:sz="18" w:val="single"/>
        </w:pBdr>
        <w:shd w:fill="auto" w:val="clear"/>
        <w:spacing w:after="0" w:lineRule="auto"/>
        <w:ind w:firstLine="708"/>
        <w:jc w:val="both"/>
        <w:rPr>
          <w:b w:val="1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bottom w:color="c55911" w:space="1" w:sz="18" w:val="single"/>
        </w:pBdr>
        <w:shd w:fill="auto" w:val="clear"/>
        <w:spacing w:after="0" w:lineRule="auto"/>
        <w:ind w:firstLine="708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CONTENIDOS: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aula como espacio de trabajo pedagógico, social, cultural. La complejidad del aula y de otros contextos educativos.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ámbito de las prácticas educativas más allá de la escuela: barrio, instituciones, bibliotecas, centros culturales, clubes.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Identificación de acciones y proyectos socio-comunitarios.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conocimiento del medio, su importancia para las adecuaciones curriculares.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Planificación de intervenciones pedagógicas.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Materiales curriculares, normativa curricular.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observación, el registro de las experiencias, el análisis de documentos.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after="0" w:line="240" w:lineRule="auto"/>
        <w:ind w:left="785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Análisis de relaciones y continuidad de contenidos de las áreas desde 1º a 7º año de la enseñanza primaria y N.A.P.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after="0" w:line="240" w:lineRule="auto"/>
        <w:ind w:left="785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Elaboración de diagnósticos: institucional y áulico.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after="0" w:line="240" w:lineRule="auto"/>
        <w:ind w:left="785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Observaciones y elaboración de informes en un año de la Educación primaria en diferentes instituciones escolares.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after="0" w:line="240" w:lineRule="auto"/>
        <w:ind w:left="785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Planificaciones diarias, de unidad, anuales.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after="0" w:line="240" w:lineRule="auto"/>
        <w:ind w:left="785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Observación e informe sobre las distintas relaciones que se presentan dentro de una institución escolar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left="78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MARCO METODOLÓGICO: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y análisis de documentos con su respectiva puesta en práctica.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Grupos de trabajo.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Dramatizaciones.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Participaciones en foro de debates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Trabajos individuales compartidos en el aula virtual del INFoD. </w:t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ind w:right="22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bottom w:color="c55911" w:space="1" w:sz="18" w:val="single"/>
        </w:pBdr>
        <w:shd w:fill="auto" w:val="clear"/>
        <w:spacing w:after="0" w:line="240" w:lineRule="auto"/>
        <w:ind w:firstLine="426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bottom w:color="c55911" w:space="1" w:sz="18" w:val="single"/>
        </w:pBdr>
        <w:shd w:fill="auto" w:val="clear"/>
        <w:spacing w:after="0" w:line="240" w:lineRule="auto"/>
        <w:ind w:firstLine="426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TRABAJOS PRÁCTICOS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Elaboración de diagnóstico de grupo e institucional.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Observación, a través de la técnica de simulación, de jornadas de clase.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Planificaciones de clases. (Unidad didáctica, Proyecto, Secuencia didáctica)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bottom w:color="c55911" w:space="1" w:sz="18" w:val="single"/>
        </w:pBdr>
        <w:shd w:fill="auto" w:val="clear"/>
        <w:spacing w:after="0" w:line="240" w:lineRule="auto"/>
        <w:ind w:firstLine="426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TEMPORALIZACIÓN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cuatrimestre</w:t>
      </w:r>
    </w:p>
    <w:p w:rsidR="00000000" w:rsidDel="00000000" w:rsidP="00000000" w:rsidRDefault="00000000" w:rsidRPr="00000000" w14:paraId="0000004E">
      <w:pPr>
        <w:pageBreakBefore w:val="0"/>
        <w:pBdr>
          <w:bottom w:color="c55911" w:space="1" w:sz="18" w:val="single"/>
        </w:pBdr>
        <w:shd w:fill="auto" w:val="clear"/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bottom w:color="c55911" w:space="1" w:sz="18" w:val="single"/>
        </w:pBdr>
        <w:shd w:fill="auto" w:val="clear"/>
        <w:spacing w:after="0" w:line="240" w:lineRule="auto"/>
        <w:ind w:firstLine="709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bottom w:color="c55911" w:space="1" w:sz="18" w:val="single"/>
        </w:pBdr>
        <w:shd w:fill="auto" w:val="clear"/>
        <w:spacing w:after="0" w:line="240" w:lineRule="auto"/>
        <w:ind w:firstLine="709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EVALUACIÓN:</w:t>
      </w:r>
    </w:p>
    <w:p w:rsidR="00000000" w:rsidDel="00000000" w:rsidP="00000000" w:rsidRDefault="00000000" w:rsidRPr="00000000" w14:paraId="00000051">
      <w:pPr>
        <w:pageBreakBefore w:val="0"/>
        <w:pBdr>
          <w:bottom w:color="c55911" w:space="1" w:sz="18" w:val="single"/>
        </w:pBdr>
        <w:shd w:fill="auto" w:val="clear"/>
        <w:spacing w:after="0" w:line="240" w:lineRule="auto"/>
        <w:ind w:firstLine="709"/>
        <w:rPr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espacio curricular admite la condición de alumno regular con cursado presencial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 presente régimen de cursado presencial queda suspendido en respuesta a la situación de cursado virtual por el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Aspectos a tener en cuenta para la promoción del taller: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Asistencia a las clases del 75 %.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7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Trabajos prácticos obligatorios 100 % aprobados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poder cursar el Taller de Práctica II, deberán cumplir con las correlatividades establecidas a continuación. 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Aprobada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Taller de Práctica I.  Al menos tres de los talleres de 1º año del Campo de la Formación Específica.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Regularizada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Pedagogía- Psicología y Educación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1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bottom w:color="c55911" w:space="1" w:sz="18" w:val="single"/>
        </w:pBdr>
        <w:shd w:fill="auto" w:val="clear"/>
        <w:spacing w:line="360" w:lineRule="auto"/>
        <w:ind w:firstLine="709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BIBLIOGRAFÍA: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ANIJOVICH, R. “Estrategias de enseñanza” (2.009)  Aique.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ANIJOVICH, R. “La diversidad suma?”(2018)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BIXIO, C. “Enseñar a aprender” (1.998) Rosario. Homo Sapiens.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GUERRERO, J. ¿Cómo elaborar un diagnóstico de grupo? Guía y ejemplo práctico (2019)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MINISTERIO DE EDUCACIÓN, Núcleo de Aprendizajes Prioritarios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N.I.C.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POSTIC, KETELE. “Observar las situaciones didácticas” Narcea.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SANJURJO, L. “La formación práctica de los docentes” (2.002) Rosario. Homo Sapiens.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SANJURJO, L; RODRÍGUEZ, X. “Volver a pensar la clase” (2.003) Rosario. Homo Sapiens.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MINISTERIO DE EDUCACIÓN. Serie cuadernos para el aula (2.007)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SEGUNDO CUATRIMESTRE.</w:t>
      </w:r>
    </w:p>
    <w:p w:rsidR="00000000" w:rsidDel="00000000" w:rsidP="00000000" w:rsidRDefault="00000000" w:rsidRPr="00000000" w14:paraId="0000007C">
      <w:pPr>
        <w:pageBreakBefore w:val="0"/>
        <w:rPr>
          <w:rFonts w:ascii="Arial" w:cs="Arial" w:eastAsia="Arial" w:hAnsi="Arial"/>
          <w:b w:val="1"/>
          <w:color w:val="4472c4"/>
        </w:rPr>
      </w:pPr>
      <w:r w:rsidDel="00000000" w:rsidR="00000000" w:rsidRPr="00000000">
        <w:rPr>
          <w:rFonts w:ascii="Arial" w:cs="Arial" w:eastAsia="Arial" w:hAnsi="Arial"/>
          <w:b w:val="1"/>
          <w:color w:val="4472c4"/>
          <w:rtl w:val="0"/>
        </w:rPr>
        <w:t xml:space="preserve">Formato curricular: Seminario</w:t>
      </w:r>
    </w:p>
    <w:p w:rsidR="00000000" w:rsidDel="00000000" w:rsidP="00000000" w:rsidRDefault="00000000" w:rsidRPr="00000000" w14:paraId="0000007D">
      <w:pPr>
        <w:pageBreakBefore w:val="0"/>
        <w:pBdr>
          <w:bottom w:color="c55911" w:space="1" w:sz="18" w:val="single"/>
        </w:pBdr>
        <w:shd w:fill="ffffff" w:val="clear"/>
        <w:spacing w:after="0" w:line="360" w:lineRule="auto"/>
        <w:ind w:firstLine="709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bottom w:color="c55911" w:space="1" w:sz="18" w:val="single"/>
        </w:pBdr>
        <w:shd w:fill="ffffff" w:val="clear"/>
        <w:spacing w:after="0" w:line="360" w:lineRule="auto"/>
        <w:ind w:firstLine="709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MARCO REFERENCIAL</w:t>
      </w:r>
    </w:p>
    <w:p w:rsidR="00000000" w:rsidDel="00000000" w:rsidP="00000000" w:rsidRDefault="00000000" w:rsidRPr="00000000" w14:paraId="0000007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pretende desde este espacio aportar los marcos teóricos necesarios para la comprensión de los grupos con sus complejas dinámicas.</w:t>
      </w:r>
    </w:p>
    <w:p w:rsidR="00000000" w:rsidDel="00000000" w:rsidP="00000000" w:rsidRDefault="00000000" w:rsidRPr="00000000" w14:paraId="00000081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fin es que el estudiante comprenda los grupos de trabajo y de aprendizaje, aproveche sus dinámicas internas y construya dispositivos de intervención que favorezca la solidaridad y el reconocimiento del otro.</w:t>
      </w:r>
    </w:p>
    <w:p w:rsidR="00000000" w:rsidDel="00000000" w:rsidP="00000000" w:rsidRDefault="00000000" w:rsidRPr="00000000" w14:paraId="00000082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Además se pretende que los estudiantes tomen conciencia de la necesidad de entender el aula desde lo grupal.</w:t>
      </w:r>
    </w:p>
    <w:p w:rsidR="00000000" w:rsidDel="00000000" w:rsidP="00000000" w:rsidRDefault="00000000" w:rsidRPr="00000000" w14:paraId="00000083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PROPÓSITOS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Aportar los marcos teóricos necesarios para la comprensión de los grupos, entendiéndolos como complejos.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Proponer el diseño de técnica grupales</w:t>
      </w:r>
    </w:p>
    <w:p w:rsidR="00000000" w:rsidDel="00000000" w:rsidP="00000000" w:rsidRDefault="00000000" w:rsidRPr="00000000" w14:paraId="00000087">
      <w:pPr>
        <w:pageBreakBefore w:val="0"/>
        <w:tabs>
          <w:tab w:val="left" w:pos="12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bottom w:color="c55911" w:space="1" w:sz="18" w:val="single"/>
        </w:pBdr>
        <w:shd w:fill="auto" w:val="clear"/>
        <w:ind w:firstLine="708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OBJETIVOS: 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9"/>
        </w:numPr>
        <w:spacing w:after="0" w:line="240" w:lineRule="auto"/>
        <w:ind w:left="2149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Realizar una lectura psico-social de los procesos grupales.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9"/>
        </w:numPr>
        <w:spacing w:after="0" w:line="240" w:lineRule="auto"/>
        <w:ind w:left="2149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Construir dispositivos de intervención.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9"/>
        </w:numPr>
        <w:spacing w:after="0" w:line="240" w:lineRule="auto"/>
        <w:ind w:left="2149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Realizar ejercicios de desarrollo de técnicas grupales.</w:t>
      </w:r>
    </w:p>
    <w:p w:rsidR="00000000" w:rsidDel="00000000" w:rsidP="00000000" w:rsidRDefault="00000000" w:rsidRPr="00000000" w14:paraId="0000008D">
      <w:pPr>
        <w:pageBreakBefore w:val="0"/>
        <w:ind w:left="178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bottom w:color="c55911" w:space="1" w:sz="18" w:val="single"/>
        </w:pBdr>
        <w:shd w:fill="auto" w:val="clear"/>
        <w:spacing w:after="0" w:lineRule="auto"/>
        <w:ind w:firstLine="708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CONTENIDOS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3">
      <w:pPr>
        <w:pageBreakBefore w:val="0"/>
        <w:ind w:left="1789" w:hanging="178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complejidad de los grupos, su organización y su dinámica.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comprensión de lo grupal desde distintos aportes.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grupo, lo grupal y la grupalidad en las situaciones de enseñanza y de aprendizaje.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procesos grupales en el aula y en otros contextos educativos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Aportes de la tecnología de la comunicación y de la información a los procesos grupales.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Técnicas grupales clásicas.</w:t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MARCO METODOLÓGICO: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Debates.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Dramatizaciones.</w:t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TEMPORALIZACIÓN:</w:t>
      </w:r>
    </w:p>
    <w:p w:rsidR="00000000" w:rsidDel="00000000" w:rsidP="00000000" w:rsidRDefault="00000000" w:rsidRPr="00000000" w14:paraId="000000A0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cuatrimestre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TRABAJOS PRÁCTICOS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Elaboración de un texto narrativo, contrastando teoría donde se detallen las características de los alumnos observados en el 1º cuatrimestre (escritura, dibujo, juegos) </w:t>
      </w:r>
    </w:p>
    <w:p w:rsidR="00000000" w:rsidDel="00000000" w:rsidP="00000000" w:rsidRDefault="00000000" w:rsidRPr="00000000" w14:paraId="000000A6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28"/>
          <w:szCs w:val="28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EVALUACIÓN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la aprobación de este Seminario se requerirá tanto la participación activa y productiva en el mismo, como presentación y defensa del trabajo final.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bottom w:color="c55911" w:space="1" w:sz="18" w:val="single"/>
        </w:pBdr>
        <w:shd w:fill="auto" w:val="clear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BIBLIOGRAFÍA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1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ANTELO, E.“El renegar de la escuela”..</w:t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1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SOUTO, M.“La clase escolar”.</w:t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1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EDWARDS, E; PINTUS, A.“Poder y seducción en la escuela”.</w:t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10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CIRIGLIANO; VILLAVERDE.“Dinámica de grupos y educación”.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7" w:top="1417" w:left="1701" w:right="1701" w:header="0" w:footer="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anvito Pro 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-38099</wp:posOffset>
              </wp:positionV>
              <wp:extent cx="621665" cy="28003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039930" y="3644745"/>
                        <a:ext cx="612140" cy="27051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PAGE    \* MERGEFORMAT3</w:t>
                          </w:r>
                        </w:p>
                      </w:txbxContent>
                    </wps:txbx>
                    <wps:bodyPr anchorCtr="0" anchor="ctr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-38099</wp:posOffset>
              </wp:positionV>
              <wp:extent cx="621665" cy="28003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665" cy="280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Sanvito Pro Light" w:cs="Sanvito Pro Light" w:eastAsia="Sanvito Pro Light" w:hAnsi="Sanvito Pro Light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Sanvito Pro Light" w:cs="Sanvito Pro Light" w:eastAsia="Sanvito Pro Light" w:hAnsi="Sanvito Pro Light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63500</wp:posOffset>
              </wp:positionV>
              <wp:extent cx="7920990" cy="184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90268" y="3692688"/>
                        <a:ext cx="7911465" cy="1746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FCDCD"/>
                          </a:gs>
                          <a:gs pos="50000">
                            <a:srgbClr val="AFADAD"/>
                          </a:gs>
                          <a:gs pos="100000">
                            <a:srgbClr val="CFCDCD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63500</wp:posOffset>
              </wp:positionV>
              <wp:extent cx="7920990" cy="184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990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🙫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