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D685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  <w:r w:rsidRPr="007D6858">
        <w:rPr>
          <w:rFonts w:ascii="Arial" w:hAnsi="Arial" w:cs="Arial"/>
          <w:sz w:val="22"/>
          <w:szCs w:val="22"/>
        </w:rPr>
        <w:t xml:space="preserve"> Nº 7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SECCION INGLES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PROFESORA: Lic. Maria Gabriela Polinori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ESPACIO CURRICULAR: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DIDACTICA </w:t>
      </w:r>
      <w:proofErr w:type="gramStart"/>
      <w:r w:rsidRPr="007D6858">
        <w:rPr>
          <w:rFonts w:ascii="Arial" w:hAnsi="Arial" w:cs="Arial"/>
          <w:sz w:val="22"/>
          <w:szCs w:val="22"/>
        </w:rPr>
        <w:t>ESPECIFICA</w:t>
      </w:r>
      <w:proofErr w:type="gramEnd"/>
      <w:r w:rsidRPr="007D6858">
        <w:rPr>
          <w:rFonts w:ascii="Arial" w:hAnsi="Arial" w:cs="Arial"/>
          <w:sz w:val="22"/>
          <w:szCs w:val="22"/>
        </w:rPr>
        <w:t xml:space="preserve"> II – de </w:t>
      </w:r>
      <w:r>
        <w:rPr>
          <w:rFonts w:ascii="Arial" w:hAnsi="Arial" w:cs="Arial"/>
          <w:sz w:val="22"/>
          <w:szCs w:val="22"/>
        </w:rPr>
        <w:t>secundaria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(</w:t>
      </w:r>
      <w:proofErr w:type="gramStart"/>
      <w:r w:rsidRPr="007D6858">
        <w:rPr>
          <w:rFonts w:ascii="Arial" w:hAnsi="Arial" w:cs="Arial"/>
          <w:sz w:val="22"/>
          <w:szCs w:val="22"/>
        </w:rPr>
        <w:t>segundo</w:t>
      </w:r>
      <w:proofErr w:type="gramEnd"/>
      <w:r w:rsidRPr="007D6858">
        <w:rPr>
          <w:rFonts w:ascii="Arial" w:hAnsi="Arial" w:cs="Arial"/>
          <w:sz w:val="22"/>
          <w:szCs w:val="22"/>
        </w:rPr>
        <w:t xml:space="preserve"> cuatrimestre)</w:t>
      </w:r>
      <w:r>
        <w:rPr>
          <w:rFonts w:ascii="Arial" w:hAnsi="Arial" w:cs="Arial"/>
          <w:sz w:val="22"/>
          <w:szCs w:val="22"/>
        </w:rPr>
        <w:t xml:space="preserve"> 2016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PLANIFICACION ANUAL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FUNDAMENTACION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Este espacio curricular retoma los conocimientos adquiridos en el espacio del primer cuatrimestre para dirigir la atención del futuro docente al contexto </w:t>
      </w:r>
      <w:proofErr w:type="spellStart"/>
      <w:r w:rsidRPr="007D6858">
        <w:rPr>
          <w:rFonts w:ascii="Arial" w:hAnsi="Arial" w:cs="Arial"/>
          <w:sz w:val="22"/>
          <w:szCs w:val="22"/>
        </w:rPr>
        <w:t>especÍfico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de la enseñanza de la lengua extranjera en</w:t>
      </w:r>
      <w:r>
        <w:rPr>
          <w:rFonts w:ascii="Arial" w:hAnsi="Arial" w:cs="Arial"/>
          <w:sz w:val="22"/>
          <w:szCs w:val="22"/>
        </w:rPr>
        <w:t xml:space="preserve"> el ciclo básico y el orientado del secundario</w:t>
      </w:r>
      <w:r w:rsidRPr="007D6858">
        <w:rPr>
          <w:rFonts w:ascii="Arial" w:hAnsi="Arial" w:cs="Arial"/>
          <w:sz w:val="22"/>
          <w:szCs w:val="22"/>
        </w:rPr>
        <w:t>. La idea central del espacio es resignificar los saberes previos y promover en el futuro docente la reflexión que le permita analizar los contextos y la diversidad a fin de diseñar intervenciones didácticas acordes al contexto.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PROPOSITOS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Promover el análisis crítico de los distintos enfoques de enseñanza de la lengua subyacentes en clases, libros de textos, sus propias prácticas.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Brindar oportunidades para el reconocimiento del propio proceso de adquisición de la lengua extranjera y las estrategias de aprendizaje para comprender mejor el proceso de aprendizaje de sus futuros alumnos.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Desarrollar interés por descubrir formas más innovadoras en la enseñanza de la lengua extranjera, superadoras de las tradiciones basadas solamente en la gramática.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Promover la posibilidad de comprender las necesidades de los grupos de alumnos y diseñar intervenciones didácticas acordes.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Favorecer la puesta en práctica de modos de planificar que respondan a base a distintos enfoques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EJES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enseñanza de los idiomas hoy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Enfoques que subyacen en las prácticas vs enfoques sugeridos por las teorías/diseños curriculares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La interacción</w:t>
      </w:r>
      <w:r>
        <w:rPr>
          <w:rFonts w:ascii="Arial" w:hAnsi="Arial" w:cs="Arial"/>
          <w:sz w:val="22"/>
          <w:szCs w:val="22"/>
        </w:rPr>
        <w:t>; t</w:t>
      </w:r>
      <w:r w:rsidRPr="007D6858">
        <w:rPr>
          <w:rFonts w:ascii="Arial" w:hAnsi="Arial" w:cs="Arial"/>
          <w:sz w:val="22"/>
          <w:szCs w:val="22"/>
        </w:rPr>
        <w:t>rabajo de grupo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Habilidades </w:t>
      </w:r>
      <w:r>
        <w:rPr>
          <w:rFonts w:ascii="Arial" w:hAnsi="Arial" w:cs="Arial"/>
          <w:sz w:val="22"/>
          <w:szCs w:val="22"/>
        </w:rPr>
        <w:t>lingüísticas;</w:t>
      </w:r>
      <w:r w:rsidRPr="007D6858">
        <w:rPr>
          <w:rFonts w:ascii="Arial" w:hAnsi="Arial" w:cs="Arial"/>
          <w:sz w:val="22"/>
          <w:szCs w:val="22"/>
        </w:rPr>
        <w:t xml:space="preserve"> integración de las habilidades; estrategias de desarrollo de estas macro habilidades.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lugar de la g</w:t>
      </w:r>
      <w:r w:rsidRPr="007D6858">
        <w:rPr>
          <w:rFonts w:ascii="Arial" w:hAnsi="Arial" w:cs="Arial"/>
          <w:sz w:val="22"/>
          <w:szCs w:val="22"/>
        </w:rPr>
        <w:t>ram</w:t>
      </w:r>
      <w:r>
        <w:rPr>
          <w:rFonts w:ascii="Arial" w:hAnsi="Arial" w:cs="Arial"/>
          <w:sz w:val="22"/>
          <w:szCs w:val="22"/>
        </w:rPr>
        <w:t>á</w:t>
      </w:r>
      <w:r w:rsidRPr="007D6858">
        <w:rPr>
          <w:rFonts w:ascii="Arial" w:hAnsi="Arial" w:cs="Arial"/>
          <w:sz w:val="22"/>
          <w:szCs w:val="22"/>
        </w:rPr>
        <w:t>tica</w:t>
      </w:r>
      <w:r>
        <w:rPr>
          <w:rFonts w:ascii="Arial" w:hAnsi="Arial" w:cs="Arial"/>
          <w:sz w:val="22"/>
          <w:szCs w:val="22"/>
        </w:rPr>
        <w:t>.</w:t>
      </w:r>
      <w:r w:rsidRPr="007D6858">
        <w:rPr>
          <w:rFonts w:ascii="Arial" w:hAnsi="Arial" w:cs="Arial"/>
          <w:sz w:val="22"/>
          <w:szCs w:val="22"/>
        </w:rPr>
        <w:t xml:space="preserve"> 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Enfoque </w:t>
      </w:r>
      <w:proofErr w:type="spellStart"/>
      <w:r>
        <w:rPr>
          <w:rFonts w:ascii="Arial" w:hAnsi="Arial" w:cs="Arial"/>
          <w:sz w:val="22"/>
          <w:szCs w:val="22"/>
        </w:rPr>
        <w:t>accional</w:t>
      </w:r>
      <w:proofErr w:type="spellEnd"/>
      <w:r>
        <w:rPr>
          <w:rFonts w:ascii="Arial" w:hAnsi="Arial" w:cs="Arial"/>
          <w:sz w:val="22"/>
          <w:szCs w:val="22"/>
        </w:rPr>
        <w:t>: tareas y proyectos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Enfoque humanista en la enseñanza de los idiomas 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Estilos individuales y estrategias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Nuevos soportes: las secuencias didácticas en soporte virtual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Evaluación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proofErr w:type="spellStart"/>
      <w:r w:rsidRPr="007D6858">
        <w:rPr>
          <w:rFonts w:ascii="Arial" w:hAnsi="Arial" w:cs="Arial"/>
          <w:sz w:val="22"/>
          <w:szCs w:val="22"/>
        </w:rPr>
        <w:t>Testing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vs </w:t>
      </w:r>
      <w:proofErr w:type="spellStart"/>
      <w:r w:rsidRPr="007D6858">
        <w:rPr>
          <w:rFonts w:ascii="Arial" w:hAnsi="Arial" w:cs="Arial"/>
          <w:sz w:val="22"/>
          <w:szCs w:val="22"/>
        </w:rPr>
        <w:t>Assessment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D6858">
        <w:rPr>
          <w:rFonts w:ascii="Arial" w:hAnsi="Arial" w:cs="Arial"/>
          <w:sz w:val="22"/>
          <w:szCs w:val="22"/>
        </w:rPr>
        <w:t>evaluacion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formal e informal, formativa y </w:t>
      </w:r>
      <w:proofErr w:type="spellStart"/>
      <w:r w:rsidRPr="007D6858">
        <w:rPr>
          <w:rFonts w:ascii="Arial" w:hAnsi="Arial" w:cs="Arial"/>
          <w:sz w:val="22"/>
          <w:szCs w:val="22"/>
        </w:rPr>
        <w:t>sumativa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, de proceso o de producto; 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proofErr w:type="spellStart"/>
      <w:r w:rsidRPr="007D6858">
        <w:rPr>
          <w:rFonts w:ascii="Arial" w:hAnsi="Arial" w:cs="Arial"/>
          <w:sz w:val="22"/>
          <w:szCs w:val="22"/>
        </w:rPr>
        <w:t>Evaluacion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formal: criterios: validez, confiabilidad y practicidad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Tipos de evalua</w:t>
      </w:r>
      <w:r>
        <w:rPr>
          <w:rFonts w:ascii="Arial" w:hAnsi="Arial" w:cs="Arial"/>
          <w:sz w:val="22"/>
          <w:szCs w:val="22"/>
        </w:rPr>
        <w:t>ción formal: de diagnóstico, de logro</w:t>
      </w:r>
      <w:r w:rsidRPr="007D6858">
        <w:rPr>
          <w:rFonts w:ascii="Arial" w:hAnsi="Arial" w:cs="Arial"/>
          <w:sz w:val="22"/>
          <w:szCs w:val="22"/>
        </w:rPr>
        <w:t>, etc.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Nuevas formas de evaluación: evaluación entre pares, portfolio, proyectos, auto-evaluación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El uso de </w:t>
      </w:r>
      <w:proofErr w:type="spellStart"/>
      <w:r w:rsidRPr="007D6858">
        <w:rPr>
          <w:rFonts w:ascii="Arial" w:hAnsi="Arial" w:cs="Arial"/>
          <w:sz w:val="22"/>
          <w:szCs w:val="22"/>
        </w:rPr>
        <w:t>checklists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858">
        <w:rPr>
          <w:rFonts w:ascii="Arial" w:hAnsi="Arial" w:cs="Arial"/>
          <w:sz w:val="22"/>
          <w:szCs w:val="22"/>
        </w:rPr>
        <w:t>banding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6858">
        <w:rPr>
          <w:rFonts w:ascii="Arial" w:hAnsi="Arial" w:cs="Arial"/>
          <w:sz w:val="22"/>
          <w:szCs w:val="22"/>
        </w:rPr>
        <w:t>etc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en la evaluación.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D6858">
        <w:rPr>
          <w:rFonts w:ascii="Arial" w:hAnsi="Arial" w:cs="Arial"/>
          <w:sz w:val="22"/>
          <w:szCs w:val="22"/>
        </w:rPr>
        <w:t>l libro de texto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proofErr w:type="spellStart"/>
      <w:r w:rsidRPr="007D6858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Á</w:t>
      </w:r>
      <w:r w:rsidRPr="007D6858">
        <w:rPr>
          <w:rFonts w:ascii="Arial" w:hAnsi="Arial" w:cs="Arial"/>
          <w:sz w:val="22"/>
          <w:szCs w:val="22"/>
        </w:rPr>
        <w:t>lisis</w:t>
      </w:r>
      <w:proofErr w:type="spellEnd"/>
      <w:r w:rsidRPr="007D6858">
        <w:rPr>
          <w:rFonts w:ascii="Arial" w:hAnsi="Arial" w:cs="Arial"/>
          <w:sz w:val="22"/>
          <w:szCs w:val="22"/>
        </w:rPr>
        <w:t xml:space="preserve"> de libros de textos diseñados para los niveles específicos.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 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ORIETACIONES METODOLOGICAS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promoverá la construcción de conocimiento a través de actividades  que integren la teoría con la práctica real de aula -que necesita desarrollar el alumno por estar cursando a su vez el Trayecto de Prácticas y como futuro docente en las aulas- por medio de: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Planificación de clase, de unidad, anual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Selección de actividades para cada momento de una clase.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Selección de actividades que fomenten las cuatro macro habilidades del lenguaje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Análisis de clases y de evaluaciones formales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EVALUACION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 xml:space="preserve">Este espacio se regularizará por medio de la aprobación de trabajos prácticos con carácter de parcial. 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 w:rsidRPr="007D6858">
        <w:rPr>
          <w:rFonts w:ascii="Arial" w:hAnsi="Arial" w:cs="Arial"/>
          <w:sz w:val="22"/>
          <w:szCs w:val="22"/>
        </w:rPr>
        <w:t>Trabajo Practico Nº 1</w:t>
      </w:r>
      <w:r>
        <w:rPr>
          <w:rFonts w:ascii="Arial" w:hAnsi="Arial" w:cs="Arial"/>
          <w:sz w:val="22"/>
          <w:szCs w:val="22"/>
        </w:rPr>
        <w:t xml:space="preserve">: </w:t>
      </w:r>
      <w:r w:rsidRPr="007D6858">
        <w:rPr>
          <w:rFonts w:ascii="Arial" w:hAnsi="Arial" w:cs="Arial"/>
          <w:sz w:val="22"/>
          <w:szCs w:val="22"/>
        </w:rPr>
        <w:t xml:space="preserve">análisis de </w:t>
      </w:r>
      <w:r>
        <w:rPr>
          <w:rFonts w:ascii="Arial" w:hAnsi="Arial" w:cs="Arial"/>
          <w:sz w:val="22"/>
          <w:szCs w:val="22"/>
        </w:rPr>
        <w:t>una unidad didáctica de un libro de textos a fin de identificar y analizar los contenidos del eje 1; diseño de evaluación alternativa para esa unidad</w:t>
      </w:r>
      <w:r w:rsidRPr="007D6858">
        <w:rPr>
          <w:rFonts w:ascii="Arial" w:hAnsi="Arial" w:cs="Arial"/>
          <w:sz w:val="22"/>
          <w:szCs w:val="22"/>
        </w:rPr>
        <w:t>.</w:t>
      </w:r>
    </w:p>
    <w:p w:rsidR="006579B4" w:rsidRDefault="006579B4" w:rsidP="006579B4">
      <w:pPr>
        <w:rPr>
          <w:rFonts w:ascii="Arial" w:hAnsi="Arial" w:cs="Arial"/>
          <w:sz w:val="22"/>
          <w:szCs w:val="22"/>
        </w:rPr>
      </w:pPr>
      <w:r w:rsidRPr="00254FAA">
        <w:rPr>
          <w:rFonts w:ascii="Arial" w:hAnsi="Arial" w:cs="Arial"/>
          <w:sz w:val="22"/>
          <w:szCs w:val="22"/>
        </w:rPr>
        <w:t xml:space="preserve">Trabajo </w:t>
      </w:r>
      <w:proofErr w:type="gramStart"/>
      <w:r w:rsidRPr="00254FAA">
        <w:rPr>
          <w:rFonts w:ascii="Arial" w:hAnsi="Arial" w:cs="Arial"/>
          <w:sz w:val="22"/>
          <w:szCs w:val="22"/>
        </w:rPr>
        <w:t>Practico</w:t>
      </w:r>
      <w:proofErr w:type="gramEnd"/>
      <w:r w:rsidRPr="00254FAA">
        <w:rPr>
          <w:rFonts w:ascii="Arial" w:hAnsi="Arial" w:cs="Arial"/>
          <w:sz w:val="22"/>
          <w:szCs w:val="22"/>
        </w:rPr>
        <w:t xml:space="preserve"> N 2: </w:t>
      </w:r>
      <w:proofErr w:type="spellStart"/>
      <w:r w:rsidRPr="00254FAA">
        <w:rPr>
          <w:rFonts w:ascii="Arial" w:hAnsi="Arial" w:cs="Arial"/>
          <w:sz w:val="22"/>
          <w:szCs w:val="22"/>
        </w:rPr>
        <w:t>NAPs</w:t>
      </w:r>
      <w:proofErr w:type="spellEnd"/>
      <w:r w:rsidRPr="00254FAA">
        <w:rPr>
          <w:rFonts w:ascii="Arial" w:hAnsi="Arial" w:cs="Arial"/>
          <w:sz w:val="22"/>
          <w:szCs w:val="22"/>
        </w:rPr>
        <w:t>: An</w:t>
      </w:r>
      <w:r>
        <w:rPr>
          <w:rFonts w:ascii="Arial" w:hAnsi="Arial" w:cs="Arial"/>
          <w:sz w:val="22"/>
          <w:szCs w:val="22"/>
        </w:rPr>
        <w:t>á</w:t>
      </w:r>
      <w:r w:rsidRPr="00254FAA">
        <w:rPr>
          <w:rFonts w:ascii="Arial" w:hAnsi="Arial" w:cs="Arial"/>
          <w:sz w:val="22"/>
          <w:szCs w:val="22"/>
        </w:rPr>
        <w:t>lisis de la progresi</w:t>
      </w:r>
      <w:r>
        <w:rPr>
          <w:rFonts w:ascii="Arial" w:hAnsi="Arial" w:cs="Arial"/>
          <w:sz w:val="22"/>
          <w:szCs w:val="22"/>
        </w:rPr>
        <w:t xml:space="preserve">ón de los contenidos propuestos en los </w:t>
      </w:r>
      <w:proofErr w:type="spellStart"/>
      <w:r>
        <w:rPr>
          <w:rFonts w:ascii="Arial" w:hAnsi="Arial" w:cs="Arial"/>
          <w:sz w:val="22"/>
          <w:szCs w:val="22"/>
        </w:rPr>
        <w:t>NAPs</w:t>
      </w:r>
      <w:proofErr w:type="spellEnd"/>
      <w:r>
        <w:rPr>
          <w:rFonts w:ascii="Arial" w:hAnsi="Arial" w:cs="Arial"/>
          <w:sz w:val="22"/>
          <w:szCs w:val="22"/>
        </w:rPr>
        <w:t xml:space="preserve"> de Lenguas </w:t>
      </w:r>
      <w:proofErr w:type="spellStart"/>
      <w:r>
        <w:rPr>
          <w:rFonts w:ascii="Arial" w:hAnsi="Arial" w:cs="Arial"/>
          <w:sz w:val="22"/>
          <w:szCs w:val="22"/>
        </w:rPr>
        <w:t>Entranjeras</w:t>
      </w:r>
      <w:proofErr w:type="spellEnd"/>
      <w:r>
        <w:rPr>
          <w:rFonts w:ascii="Arial" w:hAnsi="Arial" w:cs="Arial"/>
          <w:sz w:val="22"/>
          <w:szCs w:val="22"/>
        </w:rPr>
        <w:t xml:space="preserve"> y su proyección en las planificaciones áulicas</w:t>
      </w:r>
    </w:p>
    <w:p w:rsidR="006579B4" w:rsidRPr="00254FAA" w:rsidRDefault="006579B4" w:rsidP="00657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Construcción de una propuesta de secuencia didáctica al modo de las de Conectar Igualdad</w:t>
      </w:r>
    </w:p>
    <w:p w:rsidR="003838CB" w:rsidRDefault="003838CB" w:rsidP="003838CB">
      <w:pPr>
        <w:rPr>
          <w:rFonts w:ascii="Arial" w:hAnsi="Arial" w:cs="Arial"/>
          <w:b/>
          <w:sz w:val="22"/>
          <w:szCs w:val="22"/>
        </w:rPr>
      </w:pPr>
    </w:p>
    <w:p w:rsidR="003838CB" w:rsidRPr="003838CB" w:rsidRDefault="003838CB" w:rsidP="003838CB">
      <w:pPr>
        <w:rPr>
          <w:rFonts w:ascii="Arial" w:hAnsi="Arial" w:cs="Arial"/>
          <w:sz w:val="22"/>
          <w:szCs w:val="22"/>
        </w:rPr>
      </w:pPr>
      <w:r w:rsidRPr="003838CB">
        <w:rPr>
          <w:rFonts w:ascii="Arial" w:hAnsi="Arial" w:cs="Arial"/>
          <w:sz w:val="22"/>
          <w:szCs w:val="22"/>
        </w:rPr>
        <w:t>MODALIDAD DE CURSADO</w:t>
      </w:r>
    </w:p>
    <w:p w:rsidR="003838CB" w:rsidRDefault="003838CB" w:rsidP="003838CB">
      <w:pPr>
        <w:rPr>
          <w:rFonts w:ascii="Arial" w:hAnsi="Arial" w:cs="Arial"/>
          <w:sz w:val="22"/>
          <w:szCs w:val="22"/>
        </w:rPr>
      </w:pPr>
      <w:r w:rsidRPr="003838CB">
        <w:rPr>
          <w:rFonts w:ascii="Arial" w:hAnsi="Arial" w:cs="Arial"/>
          <w:b/>
          <w:sz w:val="22"/>
          <w:szCs w:val="22"/>
        </w:rPr>
        <w:t>Cursado presencial</w:t>
      </w:r>
      <w:r>
        <w:rPr>
          <w:rFonts w:ascii="Arial" w:hAnsi="Arial" w:cs="Arial"/>
          <w:sz w:val="22"/>
          <w:szCs w:val="22"/>
        </w:rPr>
        <w:t>: e</w:t>
      </w:r>
      <w:r w:rsidRPr="00D96FD1">
        <w:rPr>
          <w:rFonts w:ascii="Arial" w:hAnsi="Arial" w:cs="Arial"/>
          <w:sz w:val="22"/>
          <w:szCs w:val="22"/>
        </w:rPr>
        <w:t>l espacio curricular se</w:t>
      </w:r>
      <w:r>
        <w:rPr>
          <w:rFonts w:ascii="Arial" w:hAnsi="Arial" w:cs="Arial"/>
          <w:sz w:val="22"/>
          <w:szCs w:val="22"/>
        </w:rPr>
        <w:t xml:space="preserve"> aprobará con la aprobación con 6 de dos trabajos prácticos con carácter de parcial y el 75% de asistencia/ 60% para alumnos que trabajan. El promedio de 8 en las dos instancias y el 75 % de asistencia ameritan la promoción directa con coloquio integrador aprobado con 8 (sin final)</w:t>
      </w:r>
    </w:p>
    <w:p w:rsidR="003838CB" w:rsidRDefault="003838CB" w:rsidP="003838CB">
      <w:pPr>
        <w:rPr>
          <w:rFonts w:ascii="Arial" w:hAnsi="Arial" w:cs="Arial"/>
          <w:sz w:val="22"/>
          <w:szCs w:val="22"/>
        </w:rPr>
      </w:pPr>
      <w:r w:rsidRPr="003838CB">
        <w:rPr>
          <w:rFonts w:ascii="Arial" w:hAnsi="Arial" w:cs="Arial"/>
          <w:b/>
          <w:sz w:val="22"/>
          <w:szCs w:val="22"/>
        </w:rPr>
        <w:t xml:space="preserve">Cursado </w:t>
      </w:r>
      <w:proofErr w:type="spellStart"/>
      <w:r w:rsidRPr="003838CB">
        <w:rPr>
          <w:rFonts w:ascii="Arial" w:hAnsi="Arial" w:cs="Arial"/>
          <w:b/>
          <w:sz w:val="22"/>
          <w:szCs w:val="22"/>
        </w:rPr>
        <w:t>Semi</w:t>
      </w:r>
      <w:proofErr w:type="spellEnd"/>
      <w:r w:rsidRPr="003838CB">
        <w:rPr>
          <w:rFonts w:ascii="Arial" w:hAnsi="Arial" w:cs="Arial"/>
          <w:b/>
          <w:sz w:val="22"/>
          <w:szCs w:val="22"/>
        </w:rPr>
        <w:t xml:space="preserve"> presencial:</w:t>
      </w:r>
      <w:r>
        <w:rPr>
          <w:rFonts w:ascii="Arial" w:hAnsi="Arial" w:cs="Arial"/>
          <w:sz w:val="22"/>
          <w:szCs w:val="22"/>
        </w:rPr>
        <w:t xml:space="preserve"> 40% de asistencia y mismos requisitos que para el cursado presencial. Tanto el </w:t>
      </w:r>
      <w:proofErr w:type="spellStart"/>
      <w:r>
        <w:rPr>
          <w:rFonts w:ascii="Arial" w:hAnsi="Arial" w:cs="Arial"/>
          <w:sz w:val="22"/>
          <w:szCs w:val="22"/>
        </w:rPr>
        <w:t>semi</w:t>
      </w:r>
      <w:proofErr w:type="spellEnd"/>
      <w:r>
        <w:rPr>
          <w:rFonts w:ascii="Arial" w:hAnsi="Arial" w:cs="Arial"/>
          <w:sz w:val="22"/>
          <w:szCs w:val="22"/>
        </w:rPr>
        <w:t xml:space="preserve"> presencial como el presencial rinden con los programas del año en que cursaron.</w:t>
      </w:r>
    </w:p>
    <w:p w:rsidR="003838CB" w:rsidRDefault="003838CB" w:rsidP="003838CB">
      <w:pPr>
        <w:rPr>
          <w:rFonts w:ascii="Arial" w:hAnsi="Arial" w:cs="Arial"/>
          <w:sz w:val="22"/>
          <w:szCs w:val="22"/>
        </w:rPr>
      </w:pPr>
      <w:r w:rsidRPr="003838CB">
        <w:rPr>
          <w:rFonts w:ascii="Arial" w:hAnsi="Arial" w:cs="Arial"/>
          <w:b/>
          <w:sz w:val="22"/>
          <w:szCs w:val="22"/>
        </w:rPr>
        <w:t>Cursado libre:</w:t>
      </w:r>
      <w:r>
        <w:rPr>
          <w:rFonts w:ascii="Arial" w:hAnsi="Arial" w:cs="Arial"/>
          <w:sz w:val="22"/>
          <w:szCs w:val="22"/>
        </w:rPr>
        <w:t xml:space="preserve"> aprobación de los mismos trabajos prácticos para poder rendir la materia. Se rinde con el programa del año vigente al momento de rendir.</w:t>
      </w:r>
    </w:p>
    <w:p w:rsidR="003838CB" w:rsidRPr="003838CB" w:rsidRDefault="003838CB" w:rsidP="003838CB">
      <w:pPr>
        <w:rPr>
          <w:rFonts w:ascii="Arial" w:hAnsi="Arial" w:cs="Arial"/>
          <w:sz w:val="22"/>
          <w:szCs w:val="22"/>
          <w:lang w:val="es-AR"/>
        </w:rPr>
      </w:pPr>
    </w:p>
    <w:p w:rsidR="006579B4" w:rsidRPr="007D6858" w:rsidRDefault="006579B4" w:rsidP="006579B4">
      <w:p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BIBLIOGRAFIA OBLIGATORIA</w:t>
      </w:r>
    </w:p>
    <w:p w:rsidR="006579B4" w:rsidRDefault="006579B4" w:rsidP="006579B4">
      <w:p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Brown Douglas: “</w:t>
      </w:r>
      <w:r w:rsidRPr="007D6858">
        <w:rPr>
          <w:rFonts w:ascii="Arial" w:hAnsi="Arial" w:cs="Arial"/>
          <w:i/>
          <w:sz w:val="22"/>
          <w:szCs w:val="22"/>
          <w:lang w:val="en-US"/>
        </w:rPr>
        <w:t>Teaching by Pr</w:t>
      </w:r>
      <w:r>
        <w:rPr>
          <w:rFonts w:ascii="Arial" w:hAnsi="Arial" w:cs="Arial"/>
          <w:i/>
          <w:sz w:val="22"/>
          <w:szCs w:val="22"/>
          <w:lang w:val="en-US"/>
        </w:rPr>
        <w:t>i</w:t>
      </w:r>
      <w:r w:rsidRPr="007D6858">
        <w:rPr>
          <w:rFonts w:ascii="Arial" w:hAnsi="Arial" w:cs="Arial"/>
          <w:i/>
          <w:sz w:val="22"/>
          <w:szCs w:val="22"/>
          <w:lang w:val="en-US"/>
        </w:rPr>
        <w:t>nciples- An Interactive approach to language pedagogy</w:t>
      </w:r>
      <w:r w:rsidRPr="007D6858">
        <w:rPr>
          <w:rFonts w:ascii="Arial" w:hAnsi="Arial" w:cs="Arial"/>
          <w:sz w:val="22"/>
          <w:szCs w:val="22"/>
          <w:lang w:val="en-US"/>
        </w:rPr>
        <w:t xml:space="preserve">” Longman 2001 (chapters </w:t>
      </w:r>
      <w:r w:rsidR="00250FAD">
        <w:rPr>
          <w:rFonts w:ascii="Arial" w:hAnsi="Arial" w:cs="Arial"/>
          <w:sz w:val="22"/>
          <w:szCs w:val="22"/>
          <w:lang w:val="en-US"/>
        </w:rPr>
        <w:t>20</w:t>
      </w:r>
      <w:r w:rsidRPr="007D6858">
        <w:rPr>
          <w:rFonts w:ascii="Arial" w:hAnsi="Arial" w:cs="Arial"/>
          <w:sz w:val="22"/>
          <w:szCs w:val="22"/>
          <w:lang w:val="en-US"/>
        </w:rPr>
        <w:t>-23)</w:t>
      </w:r>
    </w:p>
    <w:p w:rsidR="00250FAD" w:rsidRDefault="00250FAD" w:rsidP="00250FAD">
      <w:pPr>
        <w:rPr>
          <w:rFonts w:ascii="Arial" w:hAnsi="Arial" w:cs="Arial"/>
          <w:sz w:val="22"/>
          <w:szCs w:val="22"/>
          <w:lang w:val="en-US"/>
        </w:rPr>
      </w:pPr>
      <w:r w:rsidRPr="00D96FD1">
        <w:rPr>
          <w:rFonts w:ascii="Arial" w:hAnsi="Arial" w:cs="Arial"/>
          <w:sz w:val="22"/>
          <w:szCs w:val="22"/>
          <w:lang w:val="en-US"/>
        </w:rPr>
        <w:t>JOHNSON KEITH: “</w:t>
      </w:r>
      <w:r w:rsidRPr="00D96FD1">
        <w:rPr>
          <w:rFonts w:ascii="Arial" w:hAnsi="Arial" w:cs="Arial"/>
          <w:sz w:val="22"/>
          <w:szCs w:val="22"/>
          <w:u w:val="single"/>
          <w:lang w:val="en-US"/>
        </w:rPr>
        <w:t>An introduction to Foreign Language Learning and Teaching</w:t>
      </w:r>
      <w:r w:rsidRPr="00D96FD1">
        <w:rPr>
          <w:rFonts w:ascii="Arial" w:hAnsi="Arial" w:cs="Arial"/>
          <w:sz w:val="22"/>
          <w:szCs w:val="22"/>
          <w:lang w:val="en-US"/>
        </w:rPr>
        <w:t>” Longman, 2001</w:t>
      </w:r>
      <w:r>
        <w:rPr>
          <w:rFonts w:ascii="Arial" w:hAnsi="Arial" w:cs="Arial"/>
          <w:sz w:val="22"/>
          <w:szCs w:val="22"/>
          <w:lang w:val="en-US"/>
        </w:rPr>
        <w:t xml:space="preserve"> (chapters 8-final)</w:t>
      </w:r>
    </w:p>
    <w:p w:rsidR="006579B4" w:rsidRPr="00AF0E79" w:rsidRDefault="006579B4" w:rsidP="006579B4">
      <w:pPr>
        <w:rPr>
          <w:rFonts w:ascii="Arial" w:hAnsi="Arial" w:cs="Arial"/>
          <w:sz w:val="22"/>
          <w:szCs w:val="22"/>
        </w:rPr>
      </w:pPr>
      <w:r w:rsidRPr="00AF0E79">
        <w:rPr>
          <w:rFonts w:ascii="Arial" w:hAnsi="Arial" w:cs="Arial"/>
          <w:sz w:val="22"/>
          <w:szCs w:val="22"/>
        </w:rPr>
        <w:t xml:space="preserve">Consejo Federal de Educación: </w:t>
      </w:r>
      <w:proofErr w:type="spellStart"/>
      <w:r w:rsidRPr="00AF0E79">
        <w:rPr>
          <w:rFonts w:ascii="Arial" w:hAnsi="Arial" w:cs="Arial"/>
          <w:sz w:val="22"/>
          <w:szCs w:val="22"/>
        </w:rPr>
        <w:t>NAPs</w:t>
      </w:r>
      <w:proofErr w:type="spellEnd"/>
      <w:r w:rsidRPr="00AF0E79">
        <w:rPr>
          <w:rFonts w:ascii="Arial" w:hAnsi="Arial" w:cs="Arial"/>
          <w:sz w:val="22"/>
          <w:szCs w:val="22"/>
        </w:rPr>
        <w:t xml:space="preserve"> de Lenguas E</w:t>
      </w:r>
      <w:r>
        <w:rPr>
          <w:rFonts w:ascii="Arial" w:hAnsi="Arial" w:cs="Arial"/>
          <w:sz w:val="22"/>
          <w:szCs w:val="22"/>
        </w:rPr>
        <w:t>x</w:t>
      </w:r>
      <w:r w:rsidRPr="00AF0E79">
        <w:rPr>
          <w:rFonts w:ascii="Arial" w:hAnsi="Arial" w:cs="Arial"/>
          <w:sz w:val="22"/>
          <w:szCs w:val="22"/>
        </w:rPr>
        <w:t>tranjeras (Resoluci</w:t>
      </w:r>
      <w:r>
        <w:rPr>
          <w:rFonts w:ascii="Arial" w:hAnsi="Arial" w:cs="Arial"/>
          <w:sz w:val="22"/>
          <w:szCs w:val="22"/>
        </w:rPr>
        <w:t>ón 181/12)</w:t>
      </w:r>
    </w:p>
    <w:p w:rsidR="006579B4" w:rsidRPr="00AF0E79" w:rsidRDefault="006579B4" w:rsidP="006579B4">
      <w:pPr>
        <w:rPr>
          <w:rFonts w:ascii="Arial" w:hAnsi="Arial" w:cs="Arial"/>
          <w:sz w:val="22"/>
          <w:szCs w:val="22"/>
        </w:rPr>
      </w:pPr>
    </w:p>
    <w:p w:rsidR="006579B4" w:rsidRPr="007D6858" w:rsidRDefault="006579B4" w:rsidP="006579B4">
      <w:p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BIBLIOGRAFIA DE CONSULTA</w:t>
      </w:r>
    </w:p>
    <w:p w:rsidR="006579B4" w:rsidRPr="007D6858" w:rsidRDefault="006579B4" w:rsidP="006579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JEREMY HARMER: “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The Practice of English Language Teaching”</w:t>
      </w:r>
      <w:r w:rsidRPr="007D6858">
        <w:rPr>
          <w:rFonts w:ascii="Arial" w:hAnsi="Arial" w:cs="Arial"/>
          <w:sz w:val="22"/>
          <w:szCs w:val="22"/>
          <w:lang w:val="en-US"/>
        </w:rPr>
        <w:t xml:space="preserve"> new edition, Longman 2000, chapters 1-8</w:t>
      </w:r>
    </w:p>
    <w:p w:rsidR="006579B4" w:rsidRPr="007D6858" w:rsidRDefault="006579B4" w:rsidP="006579B4">
      <w:pPr>
        <w:ind w:left="1080"/>
        <w:rPr>
          <w:rFonts w:ascii="Arial" w:hAnsi="Arial" w:cs="Arial"/>
          <w:sz w:val="22"/>
          <w:szCs w:val="22"/>
          <w:lang w:val="en-US"/>
        </w:rPr>
      </w:pPr>
    </w:p>
    <w:p w:rsidR="006579B4" w:rsidRPr="007D6858" w:rsidRDefault="006579B4" w:rsidP="006579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JEREMY HARMER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:  “How to Teach English”</w:t>
      </w:r>
      <w:r w:rsidRPr="007D6858">
        <w:rPr>
          <w:rFonts w:ascii="Arial" w:hAnsi="Arial" w:cs="Arial"/>
          <w:sz w:val="22"/>
          <w:szCs w:val="22"/>
          <w:lang w:val="en-US"/>
        </w:rPr>
        <w:t>, Longman 1999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Pr="007D6858" w:rsidRDefault="006579B4" w:rsidP="006579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 xml:space="preserve">JANE WILLIS: 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“A Framework for Task-based Learning”,</w:t>
      </w:r>
      <w:r w:rsidRPr="007D6858">
        <w:rPr>
          <w:rFonts w:ascii="Arial" w:hAnsi="Arial" w:cs="Arial"/>
          <w:sz w:val="22"/>
          <w:szCs w:val="22"/>
          <w:lang w:val="en-US"/>
        </w:rPr>
        <w:t xml:space="preserve"> Longman 1998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Pr="007D6858" w:rsidRDefault="006579B4" w:rsidP="006579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D6858">
        <w:rPr>
          <w:rFonts w:ascii="Arial" w:hAnsi="Arial" w:cs="Arial"/>
          <w:sz w:val="22"/>
          <w:szCs w:val="22"/>
          <w:lang w:val="en-US"/>
        </w:rPr>
        <w:t>ROGER GOWER: “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Teaching Practice Handbook</w:t>
      </w:r>
      <w:r w:rsidRPr="007D6858">
        <w:rPr>
          <w:rFonts w:ascii="Arial" w:hAnsi="Arial" w:cs="Arial"/>
          <w:sz w:val="22"/>
          <w:szCs w:val="22"/>
          <w:lang w:val="en-US"/>
        </w:rPr>
        <w:t>”, Heinemann 1995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Pr="007D6858" w:rsidRDefault="006579B4" w:rsidP="006579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7D6858">
        <w:rPr>
          <w:rFonts w:ascii="Arial" w:hAnsi="Arial" w:cs="Arial"/>
          <w:sz w:val="22"/>
          <w:szCs w:val="22"/>
          <w:lang w:val="en-US"/>
        </w:rPr>
        <w:t>Puchta</w:t>
      </w:r>
      <w:proofErr w:type="spellEnd"/>
      <w:r w:rsidRPr="007D6858">
        <w:rPr>
          <w:rFonts w:ascii="Arial" w:hAnsi="Arial" w:cs="Arial"/>
          <w:sz w:val="22"/>
          <w:szCs w:val="22"/>
          <w:lang w:val="en-US"/>
        </w:rPr>
        <w:t xml:space="preserve"> Herbert and </w:t>
      </w:r>
      <w:proofErr w:type="spellStart"/>
      <w:r w:rsidRPr="007D6858">
        <w:rPr>
          <w:rFonts w:ascii="Arial" w:hAnsi="Arial" w:cs="Arial"/>
          <w:sz w:val="22"/>
          <w:szCs w:val="22"/>
          <w:lang w:val="en-US"/>
        </w:rPr>
        <w:t>Schratz</w:t>
      </w:r>
      <w:proofErr w:type="spellEnd"/>
      <w:r w:rsidRPr="007D6858">
        <w:rPr>
          <w:rFonts w:ascii="Arial" w:hAnsi="Arial" w:cs="Arial"/>
          <w:sz w:val="22"/>
          <w:szCs w:val="22"/>
          <w:lang w:val="en-US"/>
        </w:rPr>
        <w:t xml:space="preserve"> Michael: “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Teaching Teenagers- Model activity sequences for humanistic language learners</w:t>
      </w:r>
      <w:r w:rsidRPr="007D6858">
        <w:rPr>
          <w:rFonts w:ascii="Arial" w:hAnsi="Arial" w:cs="Arial"/>
          <w:sz w:val="22"/>
          <w:szCs w:val="22"/>
          <w:lang w:val="en-US"/>
        </w:rPr>
        <w:t>” Longman 1984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Pr="007D6858" w:rsidRDefault="006579B4" w:rsidP="006579B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7D6858">
        <w:rPr>
          <w:rFonts w:ascii="Arial" w:hAnsi="Arial" w:cs="Arial"/>
          <w:sz w:val="22"/>
          <w:szCs w:val="22"/>
          <w:lang w:val="en-US"/>
        </w:rPr>
        <w:t>Ribé</w:t>
      </w:r>
      <w:proofErr w:type="spellEnd"/>
      <w:r w:rsidRPr="007D6858">
        <w:rPr>
          <w:rFonts w:ascii="Arial" w:hAnsi="Arial" w:cs="Arial"/>
          <w:sz w:val="22"/>
          <w:szCs w:val="22"/>
          <w:lang w:val="en-US"/>
        </w:rPr>
        <w:t xml:space="preserve"> Ramón and Vidal </w:t>
      </w:r>
      <w:proofErr w:type="spellStart"/>
      <w:r w:rsidRPr="007D6858">
        <w:rPr>
          <w:rFonts w:ascii="Arial" w:hAnsi="Arial" w:cs="Arial"/>
          <w:sz w:val="22"/>
          <w:szCs w:val="22"/>
          <w:lang w:val="en-US"/>
        </w:rPr>
        <w:t>Nuria</w:t>
      </w:r>
      <w:proofErr w:type="spellEnd"/>
      <w:r w:rsidRPr="007D6858">
        <w:rPr>
          <w:rFonts w:ascii="Arial" w:hAnsi="Arial" w:cs="Arial"/>
          <w:sz w:val="22"/>
          <w:szCs w:val="22"/>
          <w:lang w:val="en-US"/>
        </w:rPr>
        <w:t>: “</w:t>
      </w:r>
      <w:r w:rsidRPr="007D6858">
        <w:rPr>
          <w:rFonts w:ascii="Arial" w:hAnsi="Arial" w:cs="Arial"/>
          <w:sz w:val="22"/>
          <w:szCs w:val="22"/>
          <w:u w:val="single"/>
          <w:lang w:val="en-US"/>
        </w:rPr>
        <w:t>Project Work Step by Step”</w:t>
      </w:r>
      <w:r w:rsidRPr="007D6858">
        <w:rPr>
          <w:rFonts w:ascii="Arial" w:hAnsi="Arial" w:cs="Arial"/>
          <w:sz w:val="22"/>
          <w:szCs w:val="22"/>
          <w:lang w:val="en-US"/>
        </w:rPr>
        <w:t xml:space="preserve"> Heinemann 1993</w:t>
      </w:r>
    </w:p>
    <w:p w:rsidR="006579B4" w:rsidRPr="007D6858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Pr="007D6858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Default="006579B4" w:rsidP="006579B4">
      <w:pPr>
        <w:rPr>
          <w:rFonts w:ascii="Arial" w:hAnsi="Arial" w:cs="Arial"/>
          <w:sz w:val="22"/>
          <w:szCs w:val="22"/>
          <w:lang w:val="en-US"/>
        </w:rPr>
      </w:pPr>
    </w:p>
    <w:p w:rsidR="006579B4" w:rsidRPr="00C96F71" w:rsidRDefault="006579B4" w:rsidP="006579B4">
      <w:pPr>
        <w:rPr>
          <w:lang w:val="en-US"/>
        </w:rPr>
      </w:pPr>
    </w:p>
    <w:p w:rsidR="00567A40" w:rsidRPr="006579B4" w:rsidRDefault="00567A40">
      <w:pPr>
        <w:rPr>
          <w:lang w:val="en-US"/>
        </w:rPr>
      </w:pPr>
    </w:p>
    <w:sectPr w:rsidR="00567A40" w:rsidRPr="006579B4" w:rsidSect="006B0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553B"/>
    <w:multiLevelType w:val="hybridMultilevel"/>
    <w:tmpl w:val="4BEACD82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4"/>
    <w:rsid w:val="00110D69"/>
    <w:rsid w:val="00250FAD"/>
    <w:rsid w:val="003838CB"/>
    <w:rsid w:val="00567A40"/>
    <w:rsid w:val="006579B4"/>
    <w:rsid w:val="008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cp:lastPrinted>2016-04-27T20:10:00Z</cp:lastPrinted>
  <dcterms:created xsi:type="dcterms:W3CDTF">2016-04-28T12:15:00Z</dcterms:created>
  <dcterms:modified xsi:type="dcterms:W3CDTF">2016-04-28T12:15:00Z</dcterms:modified>
</cp:coreProperties>
</file>