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5A" w:rsidRDefault="00541A5A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Formación Ética y Ciudadana y su Didáctica</w:t>
      </w:r>
    </w:p>
    <w:p w:rsidR="00541A5A" w:rsidRDefault="00541A5A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Cuarto año Educación Especial</w:t>
      </w:r>
    </w:p>
    <w:p w:rsidR="00541A5A" w:rsidRDefault="00541A5A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Profesora: Jesica Acevedo</w:t>
      </w:r>
    </w:p>
    <w:p w:rsidR="00541A5A" w:rsidRDefault="00541A5A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Ciclo Lectivo: 2017</w:t>
      </w:r>
    </w:p>
    <w:p w:rsidR="00541A5A" w:rsidRPr="00541A5A" w:rsidRDefault="00541A5A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Programa de Estudio</w:t>
      </w:r>
    </w:p>
    <w:p w:rsidR="00541A5A" w:rsidRDefault="00541A5A">
      <w:pPr>
        <w:rPr>
          <w:rFonts w:ascii="Arial" w:hAnsi="Arial" w:cs="Arial"/>
          <w:b/>
          <w:color w:val="8DB3E2"/>
          <w:sz w:val="28"/>
          <w:szCs w:val="28"/>
          <w:u w:val="single"/>
        </w:rPr>
      </w:pPr>
    </w:p>
    <w:p w:rsidR="007A7EAB" w:rsidRPr="004C3B74" w:rsidRDefault="00541A5A">
      <w:pPr>
        <w:rPr>
          <w:rFonts w:ascii="Arial" w:hAnsi="Arial" w:cs="Arial"/>
          <w:b/>
          <w:color w:val="8DB3E2"/>
          <w:sz w:val="28"/>
          <w:szCs w:val="28"/>
        </w:rPr>
      </w:pPr>
      <w:r w:rsidRPr="004C3B74">
        <w:rPr>
          <w:rFonts w:ascii="Arial" w:hAnsi="Arial" w:cs="Arial"/>
          <w:b/>
          <w:color w:val="8DB3E2"/>
          <w:sz w:val="28"/>
          <w:szCs w:val="28"/>
          <w:u w:val="single"/>
        </w:rPr>
        <w:t>FUNDAMENTACIÓN</w:t>
      </w:r>
      <w:r w:rsidRPr="004C3B74">
        <w:rPr>
          <w:rFonts w:ascii="Arial" w:hAnsi="Arial" w:cs="Arial"/>
          <w:b/>
          <w:color w:val="8DB3E2"/>
          <w:sz w:val="28"/>
          <w:szCs w:val="28"/>
        </w:rPr>
        <w:t>:</w:t>
      </w:r>
    </w:p>
    <w:p w:rsidR="00F410D1" w:rsidRDefault="00F410D1">
      <w:pPr>
        <w:rPr>
          <w:rFonts w:ascii="Arial" w:hAnsi="Arial" w:cs="Arial"/>
          <w:b/>
          <w:color w:val="8DB3E2"/>
          <w:sz w:val="28"/>
          <w:szCs w:val="28"/>
        </w:rPr>
      </w:pPr>
    </w:p>
    <w:p w:rsidR="00524A34" w:rsidRPr="00F410D1" w:rsidRDefault="004209EF">
      <w:pPr>
        <w:rPr>
          <w:rFonts w:ascii="Arial" w:hAnsi="Arial" w:cs="Arial"/>
          <w:sz w:val="24"/>
          <w:szCs w:val="24"/>
        </w:rPr>
      </w:pPr>
      <w:r w:rsidRPr="00F410D1">
        <w:rPr>
          <w:rFonts w:ascii="Arial" w:hAnsi="Arial" w:cs="Arial"/>
          <w:sz w:val="24"/>
          <w:szCs w:val="24"/>
        </w:rPr>
        <w:t xml:space="preserve">El contexto actual caracterizado por los cambios y nuevas concepciones que se transforman constantemente nos lleva a replantearnos nuestra concepción acerca de la enseñanza de la formación ética y ciudadana. Se concibe a la ciudadanía como una construcción colectiva de la convivencia social, en un marco de ideas, valores, modos de vida y creencias que llevan a la reafirmación de la identidad dentro de un mundo globalizado. </w:t>
      </w:r>
      <w:r w:rsidR="002167F0" w:rsidRPr="00F410D1">
        <w:rPr>
          <w:rFonts w:ascii="Arial" w:hAnsi="Arial" w:cs="Arial"/>
          <w:sz w:val="24"/>
          <w:szCs w:val="24"/>
        </w:rPr>
        <w:t xml:space="preserve"> El ser,  el deber ser, la responsabilidad moral y libertad, los valores y  derechos humanos son </w:t>
      </w:r>
      <w:proofErr w:type="gramStart"/>
      <w:r w:rsidR="002167F0" w:rsidRPr="00F410D1">
        <w:rPr>
          <w:rFonts w:ascii="Arial" w:hAnsi="Arial" w:cs="Arial"/>
          <w:sz w:val="24"/>
          <w:szCs w:val="24"/>
        </w:rPr>
        <w:t>aspectos</w:t>
      </w:r>
      <w:proofErr w:type="gramEnd"/>
      <w:r w:rsidR="002167F0" w:rsidRPr="00F410D1">
        <w:rPr>
          <w:rFonts w:ascii="Arial" w:hAnsi="Arial" w:cs="Arial"/>
          <w:sz w:val="24"/>
          <w:szCs w:val="24"/>
        </w:rPr>
        <w:t xml:space="preserve"> teóricos fundamentales del campo de la ética.</w:t>
      </w:r>
    </w:p>
    <w:p w:rsidR="002167F0" w:rsidRPr="00F410D1" w:rsidRDefault="002167F0">
      <w:pPr>
        <w:rPr>
          <w:rFonts w:ascii="Arial" w:hAnsi="Arial" w:cs="Arial"/>
          <w:sz w:val="24"/>
          <w:szCs w:val="24"/>
        </w:rPr>
      </w:pPr>
      <w:r w:rsidRPr="00F410D1">
        <w:rPr>
          <w:rFonts w:ascii="Arial" w:hAnsi="Arial" w:cs="Arial"/>
          <w:sz w:val="24"/>
          <w:szCs w:val="24"/>
        </w:rPr>
        <w:t xml:space="preserve">Desde una perspectiva crítica se propone contribuir a una autonomía moral, mediante el desarrollo de un análisis de la realidad social y política que les permita a los alumnos desarrollar un pensamiento crítico y valoraciones propias fundamentadas racionalmente. Desde la formación docente se pretende generar un espacio de diálogo y consenso, respeto por lo nuevo, lo diferente, por el otro, </w:t>
      </w:r>
      <w:r w:rsidR="008416BC" w:rsidRPr="00F410D1">
        <w:rPr>
          <w:rFonts w:ascii="Arial" w:hAnsi="Arial" w:cs="Arial"/>
          <w:sz w:val="24"/>
          <w:szCs w:val="24"/>
        </w:rPr>
        <w:t>sobre una base de principios democráticos, tales como la igual</w:t>
      </w:r>
      <w:r w:rsidR="00370BD0" w:rsidRPr="00F410D1">
        <w:rPr>
          <w:rFonts w:ascii="Arial" w:hAnsi="Arial" w:cs="Arial"/>
          <w:sz w:val="24"/>
          <w:szCs w:val="24"/>
        </w:rPr>
        <w:t>dad, la autonomía, la libertad.</w:t>
      </w:r>
    </w:p>
    <w:p w:rsidR="00370BD0" w:rsidRPr="00F410D1" w:rsidRDefault="00370BD0">
      <w:pPr>
        <w:rPr>
          <w:rFonts w:ascii="Arial" w:hAnsi="Arial" w:cs="Arial"/>
          <w:sz w:val="24"/>
          <w:szCs w:val="24"/>
        </w:rPr>
      </w:pPr>
      <w:r w:rsidRPr="00F410D1">
        <w:rPr>
          <w:rFonts w:ascii="Arial" w:hAnsi="Arial" w:cs="Arial"/>
          <w:sz w:val="24"/>
          <w:szCs w:val="24"/>
        </w:rPr>
        <w:t>Esta es una propuesta pedagógica  que apunta a la formación de sujetos autónomos, responsables, comprometidos solidarios identificados con los principios democráticos.</w:t>
      </w:r>
    </w:p>
    <w:p w:rsidR="00FA6BE6" w:rsidRDefault="00167DAA">
      <w:pPr>
        <w:rPr>
          <w:rFonts w:ascii="Arial" w:hAnsi="Arial" w:cs="Arial"/>
          <w:sz w:val="24"/>
          <w:szCs w:val="24"/>
        </w:rPr>
      </w:pPr>
      <w:r w:rsidRPr="00F410D1">
        <w:rPr>
          <w:rFonts w:ascii="Arial" w:hAnsi="Arial" w:cs="Arial"/>
          <w:sz w:val="24"/>
          <w:szCs w:val="24"/>
        </w:rPr>
        <w:t xml:space="preserve">La naturalización de la desigualdad es parte de nuestra realidad social, desde este espacio pedagógico se propone la indagación de la conformación histórica y política de las problemáticas éticas. La moral es entendida como el cumplimiento de </w:t>
      </w:r>
      <w:r w:rsidR="00F410D1" w:rsidRPr="00F410D1">
        <w:rPr>
          <w:rFonts w:ascii="Arial" w:hAnsi="Arial" w:cs="Arial"/>
          <w:sz w:val="24"/>
          <w:szCs w:val="24"/>
        </w:rPr>
        <w:t>un conjunto de normas socialmente aceptadas, o planteadas desde el deber ser, éstas serán analizadas en su conformación, cumplimiento y contexto en el que se desarrollan.</w:t>
      </w:r>
    </w:p>
    <w:p w:rsidR="00F410D1" w:rsidRDefault="00F410D1">
      <w:pPr>
        <w:rPr>
          <w:rFonts w:ascii="Arial" w:hAnsi="Arial" w:cs="Arial"/>
          <w:sz w:val="24"/>
          <w:szCs w:val="24"/>
        </w:rPr>
      </w:pPr>
    </w:p>
    <w:p w:rsidR="00F410D1" w:rsidRDefault="00F410D1">
      <w:pPr>
        <w:rPr>
          <w:rFonts w:ascii="Arial" w:hAnsi="Arial" w:cs="Arial"/>
          <w:b/>
          <w:color w:val="8DB3E2"/>
          <w:sz w:val="28"/>
          <w:szCs w:val="28"/>
        </w:rPr>
      </w:pPr>
      <w:r w:rsidRPr="00F410D1">
        <w:rPr>
          <w:rFonts w:ascii="Arial" w:hAnsi="Arial" w:cs="Arial"/>
          <w:b/>
          <w:color w:val="8DB3E2"/>
          <w:sz w:val="28"/>
          <w:szCs w:val="28"/>
          <w:u w:val="single"/>
        </w:rPr>
        <w:lastRenderedPageBreak/>
        <w:t>OBJETIVOS</w:t>
      </w:r>
      <w:r w:rsidRPr="00F410D1">
        <w:rPr>
          <w:rFonts w:ascii="Arial" w:hAnsi="Arial" w:cs="Arial"/>
          <w:b/>
          <w:color w:val="8DB3E2"/>
          <w:sz w:val="28"/>
          <w:szCs w:val="28"/>
        </w:rPr>
        <w:t>:</w:t>
      </w:r>
    </w:p>
    <w:p w:rsidR="00FA6EFC" w:rsidRPr="00FA6EFC" w:rsidRDefault="00FA6EFC" w:rsidP="00F41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Comprender el proceso de conformación de las categorías éticas y morales.</w:t>
      </w:r>
    </w:p>
    <w:p w:rsidR="00FA6EFC" w:rsidRPr="00FA6EFC" w:rsidRDefault="00FA6EFC" w:rsidP="00F41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la conformación histórica y política de las problemáticas éticas.</w:t>
      </w:r>
    </w:p>
    <w:p w:rsidR="00FA6EFC" w:rsidRPr="00FA6EFC" w:rsidRDefault="00FA6EFC" w:rsidP="00F41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Contribuir al descubrimiento de la dimensión ética de los actos humanos.</w:t>
      </w:r>
    </w:p>
    <w:p w:rsidR="00FA6EFC" w:rsidRPr="00146C81" w:rsidRDefault="00FA6EFC" w:rsidP="00FA6E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Permitir la reflexión crítica </w:t>
      </w:r>
      <w:r w:rsidRPr="00146C81">
        <w:rPr>
          <w:rFonts w:ascii="Times New Roman" w:eastAsia="Times New Roman" w:hAnsi="Times New Roman"/>
          <w:sz w:val="24"/>
          <w:szCs w:val="24"/>
          <w:lang w:eastAsia="es-ES"/>
        </w:rPr>
        <w:t>sobre distintas posturas éticas y su posibilidad de aplicación en las condiciones  sociales actuales.</w:t>
      </w:r>
    </w:p>
    <w:p w:rsidR="00FA6EFC" w:rsidRDefault="00FA6EFC" w:rsidP="00FA6E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  <w:r w:rsidRPr="00146C81">
        <w:rPr>
          <w:rFonts w:ascii="Times New Roman" w:eastAsia="Times New Roman" w:hAnsi="Times New Roman" w:cs="Arial"/>
          <w:sz w:val="24"/>
          <w:szCs w:val="24"/>
          <w:lang w:eastAsia="es-ES"/>
        </w:rPr>
        <w:t>Generar un clima de trabajo que posibilite la tomar conciencia acerca de la responsabilidad del rol docente y de los deberes correspondientes.</w:t>
      </w:r>
    </w:p>
    <w:p w:rsidR="00FA6EFC" w:rsidRDefault="00FA6EFC" w:rsidP="00FA6E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  <w:r>
        <w:rPr>
          <w:rFonts w:ascii="Times New Roman" w:eastAsia="Times New Roman" w:hAnsi="Times New Roman" w:cs="Arial"/>
          <w:sz w:val="24"/>
          <w:szCs w:val="24"/>
          <w:lang w:eastAsia="es-ES"/>
        </w:rPr>
        <w:t>Reflexionar acerca de las problemáticas actuales en torno a la figura del Estado y el ciudadano.</w:t>
      </w:r>
    </w:p>
    <w:p w:rsidR="00FA6EFC" w:rsidRDefault="00FA6EFC" w:rsidP="00FA6E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  <w:r>
        <w:rPr>
          <w:rFonts w:ascii="Times New Roman" w:eastAsia="Times New Roman" w:hAnsi="Times New Roman" w:cs="Arial"/>
          <w:sz w:val="24"/>
          <w:szCs w:val="24"/>
          <w:lang w:eastAsia="es-ES"/>
        </w:rPr>
        <w:t xml:space="preserve">Posibilitar en espacio de diálogo </w:t>
      </w:r>
      <w:r w:rsidR="007740BE">
        <w:rPr>
          <w:rFonts w:ascii="Times New Roman" w:eastAsia="Times New Roman" w:hAnsi="Times New Roman" w:cs="Arial"/>
          <w:sz w:val="24"/>
          <w:szCs w:val="24"/>
          <w:lang w:eastAsia="es-ES"/>
        </w:rPr>
        <w:t>para enriquecer la formación de sujetos autónomos, críticos y reflexivos.</w:t>
      </w:r>
    </w:p>
    <w:p w:rsidR="007740BE" w:rsidRDefault="007740BE" w:rsidP="007740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</w:p>
    <w:p w:rsidR="007740BE" w:rsidRDefault="007740BE" w:rsidP="007740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</w:p>
    <w:p w:rsidR="007740BE" w:rsidRDefault="007740BE" w:rsidP="007740BE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  <w:r w:rsidRPr="007740BE">
        <w:rPr>
          <w:rFonts w:ascii="Arial" w:eastAsia="Times New Roman" w:hAnsi="Arial" w:cs="Arial"/>
          <w:b/>
          <w:color w:val="8DB3E2"/>
          <w:sz w:val="28"/>
          <w:szCs w:val="28"/>
          <w:u w:val="single"/>
          <w:lang w:eastAsia="es-ES"/>
        </w:rPr>
        <w:t>CONTENIDOS</w:t>
      </w:r>
      <w:r w:rsidRPr="007740BE"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  <w:t>:</w:t>
      </w:r>
    </w:p>
    <w:p w:rsidR="008D179E" w:rsidRDefault="008D179E" w:rsidP="007740BE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</w:p>
    <w:p w:rsidR="008D179E" w:rsidRDefault="008D179E" w:rsidP="007740BE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  <w:t xml:space="preserve">Unidad </w:t>
      </w:r>
      <w:r w:rsidR="009175FF"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  <w:t>I</w:t>
      </w:r>
    </w:p>
    <w:p w:rsidR="007740BE" w:rsidRDefault="007740BE" w:rsidP="007740BE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</w:p>
    <w:p w:rsidR="007740BE" w:rsidRPr="007740BE" w:rsidRDefault="007740BE" w:rsidP="007740B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¿Qué es el ciudadano?</w:t>
      </w:r>
    </w:p>
    <w:p w:rsidR="007740BE" w:rsidRDefault="007740BE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40BE">
        <w:rPr>
          <w:rFonts w:ascii="Arial" w:eastAsia="Times New Roman" w:hAnsi="Arial" w:cs="Arial"/>
          <w:sz w:val="24"/>
          <w:szCs w:val="24"/>
          <w:lang w:eastAsia="es-ES"/>
        </w:rPr>
        <w:t>-La constitución de la ciudadanía</w:t>
      </w:r>
      <w:r>
        <w:rPr>
          <w:rFonts w:ascii="Arial" w:eastAsia="Times New Roman" w:hAnsi="Arial" w:cs="Arial"/>
          <w:sz w:val="24"/>
          <w:szCs w:val="24"/>
          <w:lang w:eastAsia="es-ES"/>
        </w:rPr>
        <w:t>. Ciudadanía y guerra. Tratado de Westfalia 1648.Soldado-ciudadano: cuerpo productivo y dócil.</w:t>
      </w:r>
    </w:p>
    <w:p w:rsidR="007740BE" w:rsidRDefault="007740BE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-Conversión del súbdito en ciudadano. Castigo ejemplares. Ampliación del grado de la humanidad. Las acusaciones secretas, la tortura, la pena de muerte, </w:t>
      </w:r>
      <w:r w:rsidR="00EA0E3C">
        <w:rPr>
          <w:rFonts w:ascii="Arial" w:eastAsia="Times New Roman" w:hAnsi="Arial" w:cs="Arial"/>
          <w:sz w:val="24"/>
          <w:szCs w:val="24"/>
          <w:lang w:eastAsia="es-ES"/>
        </w:rPr>
        <w:t>y la acción del tiempo en la pena.</w:t>
      </w:r>
    </w:p>
    <w:p w:rsidR="00EA0E3C" w:rsidRDefault="00EA0E3C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-Ampliación de la ciudadanía. Derechos políticos. Radicalización del proyecto ciudadano. </w:t>
      </w:r>
    </w:p>
    <w:p w:rsidR="00EA0E3C" w:rsidRDefault="00EA0E3C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-La transformación de la ciudadanía. Globalización. Figura del consumidor.</w:t>
      </w:r>
    </w:p>
    <w:p w:rsidR="00EA0E3C" w:rsidRDefault="00EA0E3C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-Las nuevas formas de la guerra. La guerra como anticipación de formas sociales. Tres rasgos de las guerras después de la guerra fría: formas irregulares de lucha, fuerzas beligerantes irregulares, privatización de las fuerzas armadas. Desterritorialización de las acciones: “Enemigos difusos” sin base nacional. Inteligencia (mimetismos con al población civil), infidencias y variantes de </w:t>
      </w:r>
      <w:r w:rsidR="00637BAF">
        <w:rPr>
          <w:rFonts w:ascii="Arial" w:eastAsia="Times New Roman" w:hAnsi="Arial" w:cs="Arial"/>
          <w:sz w:val="24"/>
          <w:szCs w:val="24"/>
          <w:lang w:eastAsia="es-ES"/>
        </w:rPr>
        <w:t>acusaciones secretas. El terrorismo.</w:t>
      </w:r>
    </w:p>
    <w:p w:rsidR="00637BAF" w:rsidRDefault="00637BAF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-La ciudadanía cuestionada por la tendencia al Estado policial.</w:t>
      </w:r>
    </w:p>
    <w:p w:rsidR="00637BAF" w:rsidRDefault="00637BAF" w:rsidP="00637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7BAF" w:rsidRDefault="00637BAF" w:rsidP="00637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7BAF" w:rsidRDefault="00637BAF" w:rsidP="00637BAF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  <w:r w:rsidRPr="00637BAF">
        <w:rPr>
          <w:rFonts w:ascii="Arial" w:eastAsia="Times New Roman" w:hAnsi="Arial" w:cs="Arial"/>
          <w:b/>
          <w:color w:val="8DB3E2"/>
          <w:sz w:val="28"/>
          <w:szCs w:val="28"/>
          <w:u w:val="single"/>
          <w:lang w:eastAsia="es-ES"/>
        </w:rPr>
        <w:t>BIBLIOGRAFÍA</w:t>
      </w:r>
      <w:r w:rsidRPr="00637BAF"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  <w:t>:</w:t>
      </w:r>
    </w:p>
    <w:p w:rsidR="00637BAF" w:rsidRDefault="00637BAF" w:rsidP="00637BAF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</w:p>
    <w:p w:rsidR="00637BAF" w:rsidRPr="00637BAF" w:rsidRDefault="00637BAF" w:rsidP="00637B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Nievas Flabián y Bonavena Pablo</w:t>
      </w:r>
      <w:r w:rsidRPr="00637BAF">
        <w:rPr>
          <w:rFonts w:ascii="Arial" w:eastAsia="Times New Roman" w:hAnsi="Arial" w:cs="Arial"/>
          <w:i/>
          <w:sz w:val="24"/>
          <w:szCs w:val="24"/>
          <w:lang w:eastAsia="es-ES"/>
        </w:rPr>
        <w:t>. El lento ocaso de la ciudadanía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Pensares Publicación del CIFFyH, Número 5-Noviembre 2008.</w:t>
      </w:r>
    </w:p>
    <w:p w:rsidR="00637BAF" w:rsidRPr="008D179E" w:rsidRDefault="00637BAF" w:rsidP="00637B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Bonavena Pablo y Nievas Flabián (2007). </w:t>
      </w:r>
      <w:r w:rsidRPr="00637BAF">
        <w:rPr>
          <w:rFonts w:ascii="Arial" w:eastAsia="Times New Roman" w:hAnsi="Arial" w:cs="Arial"/>
          <w:i/>
          <w:sz w:val="24"/>
          <w:szCs w:val="24"/>
          <w:lang w:eastAsia="es-ES"/>
        </w:rPr>
        <w:t>Los cambios en la forma de la guerra a partir de los 90.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En: Los 90: Fin de ciclo. Final Abierto</w:t>
      </w:r>
      <w:r w:rsidR="008D179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8D179E" w:rsidRPr="009175FF" w:rsidRDefault="008D179E" w:rsidP="00637B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Nievas Flabián (2012) </w:t>
      </w:r>
      <w:r w:rsidRPr="008D179E">
        <w:rPr>
          <w:rFonts w:ascii="Arial" w:eastAsia="Times New Roman" w:hAnsi="Arial" w:cs="Arial"/>
          <w:i/>
          <w:sz w:val="24"/>
          <w:szCs w:val="24"/>
          <w:lang w:eastAsia="es-ES"/>
        </w:rPr>
        <w:t>Tortura: la guerra en tiempos de paz</w:t>
      </w:r>
      <w:r>
        <w:rPr>
          <w:rFonts w:ascii="Arial" w:eastAsia="Times New Roman" w:hAnsi="Arial" w:cs="Arial"/>
          <w:sz w:val="24"/>
          <w:szCs w:val="24"/>
          <w:lang w:eastAsia="es-ES"/>
        </w:rPr>
        <w:t>. En Sociología del cuerpo. Gritos y voces del mañana. Violencia, derechos humanos y certidumbre. El aleph</w:t>
      </w:r>
    </w:p>
    <w:p w:rsidR="009175FF" w:rsidRDefault="009175FF" w:rsidP="0091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75FF" w:rsidRDefault="009175FF" w:rsidP="009175FF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  <w:r w:rsidRPr="009175FF"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  <w:t>Unidad II</w:t>
      </w:r>
    </w:p>
    <w:p w:rsidR="00813857" w:rsidRDefault="00813857" w:rsidP="009175FF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</w:p>
    <w:p w:rsidR="00813857" w:rsidRDefault="00813857" w:rsidP="0081385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13857">
        <w:rPr>
          <w:rFonts w:ascii="Arial" w:eastAsia="Times New Roman" w:hAnsi="Arial" w:cs="Arial"/>
          <w:b/>
          <w:sz w:val="28"/>
          <w:szCs w:val="28"/>
          <w:lang w:eastAsia="es-ES"/>
        </w:rPr>
        <w:t>El juicio moral</w:t>
      </w:r>
    </w:p>
    <w:p w:rsidR="00813857" w:rsidRDefault="00813857" w:rsidP="008138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13857" w:rsidRPr="00813857" w:rsidRDefault="00813857" w:rsidP="00813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 xml:space="preserve">Las reglas del juego </w:t>
      </w:r>
      <w:r>
        <w:rPr>
          <w:rFonts w:ascii="Arial" w:hAnsi="Arial" w:cs="Arial"/>
          <w:color w:val="000000"/>
          <w:sz w:val="24"/>
          <w:szCs w:val="24"/>
        </w:rPr>
        <w:t xml:space="preserve"> La regla de juego de bolas</w:t>
      </w:r>
      <w:r w:rsidRPr="00813857">
        <w:rPr>
          <w:rFonts w:ascii="Arial" w:hAnsi="Arial" w:cs="Arial"/>
          <w:color w:val="000000"/>
          <w:sz w:val="24"/>
          <w:szCs w:val="24"/>
        </w:rPr>
        <w:t xml:space="preserve"> El interrogatorio y los resultados generales</w:t>
      </w:r>
      <w:r>
        <w:rPr>
          <w:rFonts w:ascii="Arial" w:hAnsi="Arial" w:cs="Arial"/>
          <w:sz w:val="24"/>
          <w:szCs w:val="24"/>
        </w:rPr>
        <w:t xml:space="preserve"> </w:t>
      </w:r>
      <w:r w:rsidRPr="00813857">
        <w:rPr>
          <w:rFonts w:ascii="Arial" w:hAnsi="Arial" w:cs="Arial"/>
          <w:sz w:val="24"/>
          <w:szCs w:val="24"/>
        </w:rPr>
        <w:t xml:space="preserve"> La práctica de la r</w:t>
      </w:r>
      <w:r>
        <w:rPr>
          <w:rFonts w:ascii="Arial" w:hAnsi="Arial" w:cs="Arial"/>
          <w:sz w:val="24"/>
          <w:szCs w:val="24"/>
        </w:rPr>
        <w:t xml:space="preserve">egla. Las dos primeras etapas </w:t>
      </w:r>
      <w:r w:rsidRPr="00813857">
        <w:rPr>
          <w:rFonts w:ascii="Arial" w:hAnsi="Arial" w:cs="Arial"/>
          <w:sz w:val="24"/>
          <w:szCs w:val="24"/>
        </w:rPr>
        <w:t xml:space="preserve"> La práctica de la regl</w:t>
      </w:r>
      <w:r>
        <w:rPr>
          <w:rFonts w:ascii="Arial" w:hAnsi="Arial" w:cs="Arial"/>
          <w:sz w:val="24"/>
          <w:szCs w:val="24"/>
        </w:rPr>
        <w:t xml:space="preserve">a. Tercer y cuarta etapas </w:t>
      </w:r>
      <w:r w:rsidRPr="00813857">
        <w:rPr>
          <w:rFonts w:ascii="Arial" w:hAnsi="Arial" w:cs="Arial"/>
          <w:sz w:val="24"/>
          <w:szCs w:val="24"/>
        </w:rPr>
        <w:t xml:space="preserve"> La conciencia de la </w:t>
      </w:r>
      <w:proofErr w:type="gramStart"/>
      <w:r w:rsidRPr="00813857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la .</w:t>
      </w:r>
      <w:proofErr w:type="gramEnd"/>
      <w:r>
        <w:rPr>
          <w:rFonts w:ascii="Arial" w:hAnsi="Arial" w:cs="Arial"/>
          <w:sz w:val="24"/>
          <w:szCs w:val="24"/>
        </w:rPr>
        <w:t xml:space="preserve"> Las dos primeras etapas </w:t>
      </w:r>
      <w:r w:rsidRPr="00813857">
        <w:rPr>
          <w:rFonts w:ascii="Arial" w:hAnsi="Arial" w:cs="Arial"/>
          <w:sz w:val="24"/>
          <w:szCs w:val="24"/>
        </w:rPr>
        <w:t xml:space="preserve"> La conciencia de la regla. La tercer etapa </w:t>
      </w:r>
      <w:r w:rsidRPr="00813857">
        <w:rPr>
          <w:rFonts w:ascii="Arial" w:hAnsi="Arial" w:cs="Arial"/>
          <w:color w:val="000000"/>
          <w:sz w:val="24"/>
          <w:szCs w:val="24"/>
        </w:rPr>
        <w:t xml:space="preserve"> Un juego de niñas: “El escondite”</w:t>
      </w:r>
      <w:r w:rsidRPr="008138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3857">
        <w:rPr>
          <w:rFonts w:ascii="Arial" w:hAnsi="Arial" w:cs="Arial"/>
          <w:sz w:val="24"/>
          <w:szCs w:val="24"/>
        </w:rPr>
        <w:t xml:space="preserve"> Conclusiones: La regla motri</w:t>
      </w:r>
      <w:r>
        <w:rPr>
          <w:rFonts w:ascii="Arial" w:hAnsi="Arial" w:cs="Arial"/>
          <w:sz w:val="24"/>
          <w:szCs w:val="24"/>
        </w:rPr>
        <w:t xml:space="preserve">z y los dos respetos  </w:t>
      </w:r>
      <w:r w:rsidRPr="00813857">
        <w:rPr>
          <w:rFonts w:ascii="Arial" w:hAnsi="Arial" w:cs="Arial"/>
          <w:sz w:val="24"/>
          <w:szCs w:val="24"/>
        </w:rPr>
        <w:t xml:space="preserve"> Conclusiones: Respeto hacia el grupo o respeto por personas. En busca de una hipótesis directriz.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>La “presión moral” adulta y el realismo moral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>1) Del método 2) La responsabilidad objetiva- I. Las torpezas y el robo 3) La responsabilidad objetiva- II. La mentira 4) La mentira y los dos respetos 5) Conclusiones: El realismo moral. Conclusión general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>La cooperación y el desarrollo de la noción de justicia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>1) El problema de la sanción y de la justicia retributiva 2) La responsabilidad colectiva y transmisible 3) La justicia inmanente 4) Justicia retributiva y justicia distributiva 5) Igualdad y autoridad 6) Justicia entre niños 7) Conclusión: La noción de justicia.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>Las dos morales del niño y los tipos de relaciones sociales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>Conclusiones: Paralelismo entre el desenvolvimiento moral y la evolución intelectual.</w:t>
      </w: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857" w:rsidRPr="00DD19D2" w:rsidRDefault="00DD19D2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  <w:u w:val="single"/>
        </w:rPr>
      </w:pPr>
      <w:r>
        <w:rPr>
          <w:rFonts w:ascii="Arial" w:hAnsi="Arial" w:cs="Arial"/>
          <w:b/>
          <w:color w:val="8DB3E2"/>
          <w:sz w:val="28"/>
          <w:szCs w:val="28"/>
          <w:u w:val="single"/>
        </w:rPr>
        <w:t>BIBLIOGRAFÍA</w:t>
      </w:r>
    </w:p>
    <w:p w:rsid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3857">
        <w:rPr>
          <w:rFonts w:ascii="Arial" w:hAnsi="Arial" w:cs="Arial"/>
          <w:sz w:val="24"/>
          <w:szCs w:val="24"/>
        </w:rPr>
        <w:t xml:space="preserve">Piaget Juan (1935) </w:t>
      </w:r>
      <w:r w:rsidRPr="00813857">
        <w:rPr>
          <w:rFonts w:ascii="Arial" w:hAnsi="Arial" w:cs="Arial"/>
          <w:i/>
          <w:sz w:val="24"/>
          <w:szCs w:val="24"/>
        </w:rPr>
        <w:t xml:space="preserve">El juicio moral en el niño. </w:t>
      </w:r>
      <w:r w:rsidRPr="00813857">
        <w:rPr>
          <w:rFonts w:ascii="Arial" w:hAnsi="Arial" w:cs="Arial"/>
          <w:sz w:val="24"/>
          <w:szCs w:val="24"/>
        </w:rPr>
        <w:t>Francisco Beltrán.</w:t>
      </w:r>
    </w:p>
    <w:p w:rsidR="00813857" w:rsidRDefault="00813857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3857" w:rsidRPr="004C3B74" w:rsidRDefault="00813857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</w:rPr>
      </w:pPr>
      <w:r w:rsidRPr="004C3B74">
        <w:rPr>
          <w:rFonts w:ascii="Arial" w:hAnsi="Arial" w:cs="Arial"/>
          <w:b/>
          <w:color w:val="8DB3E2"/>
          <w:sz w:val="28"/>
          <w:szCs w:val="28"/>
        </w:rPr>
        <w:t>Unidad III</w:t>
      </w:r>
    </w:p>
    <w:p w:rsidR="00813857" w:rsidRDefault="00813857" w:rsidP="00813857">
      <w:pPr>
        <w:spacing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3857">
        <w:rPr>
          <w:rFonts w:ascii="Arial" w:hAnsi="Arial" w:cs="Arial"/>
          <w:b/>
          <w:color w:val="000000"/>
          <w:sz w:val="28"/>
          <w:szCs w:val="28"/>
        </w:rPr>
        <w:t>Poder, violencia y humanización. El caso argentino.</w:t>
      </w:r>
    </w:p>
    <w:p w:rsidR="006E4232" w:rsidRDefault="006E4232" w:rsidP="0081385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4232">
        <w:rPr>
          <w:rFonts w:ascii="Arial" w:hAnsi="Arial" w:cs="Arial"/>
          <w:color w:val="000000"/>
          <w:sz w:val="24"/>
          <w:szCs w:val="24"/>
        </w:rPr>
        <w:t>El terrorismo de Estado. Marco jurídico durante la dictadura. ¿Qué es la figura del desaparecido</w:t>
      </w:r>
      <w:proofErr w:type="gramStart"/>
      <w:r w:rsidRPr="006E4232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21A4">
        <w:rPr>
          <w:rFonts w:ascii="Arial" w:hAnsi="Arial" w:cs="Arial"/>
          <w:color w:val="000000"/>
          <w:sz w:val="24"/>
          <w:szCs w:val="24"/>
        </w:rPr>
        <w:t>¿La última dictadura tuvo apoyo social</w:t>
      </w:r>
      <w:proofErr w:type="gramStart"/>
      <w:r w:rsidR="003C21A4">
        <w:rPr>
          <w:rFonts w:ascii="Arial" w:hAnsi="Arial" w:cs="Arial"/>
          <w:color w:val="000000"/>
          <w:sz w:val="24"/>
          <w:szCs w:val="24"/>
        </w:rPr>
        <w:t>?.</w:t>
      </w:r>
      <w:proofErr w:type="gramEnd"/>
      <w:r w:rsidR="003C21A4">
        <w:rPr>
          <w:rFonts w:ascii="Arial" w:hAnsi="Arial" w:cs="Arial"/>
          <w:color w:val="000000"/>
          <w:sz w:val="24"/>
          <w:szCs w:val="24"/>
        </w:rPr>
        <w:t xml:space="preserve"> El rol de los trabajadores, organismos de Derechos Humanos, medios de comunicación., </w:t>
      </w:r>
      <w:r w:rsidR="003C21A4">
        <w:rPr>
          <w:rFonts w:ascii="Arial" w:hAnsi="Arial" w:cs="Arial"/>
          <w:color w:val="000000"/>
          <w:sz w:val="24"/>
          <w:szCs w:val="24"/>
        </w:rPr>
        <w:lastRenderedPageBreak/>
        <w:t>educación. Testimonios. Dictaduras en Latinoamérica. Testimonios. Recuperación de una identidad expropiada La política de la memoria y la memoria de la política en Argentina.</w:t>
      </w:r>
    </w:p>
    <w:p w:rsidR="00813857" w:rsidRPr="00DD19D2" w:rsidRDefault="00DD19D2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  <w:u w:val="single"/>
        </w:rPr>
      </w:pPr>
      <w:r w:rsidRPr="00DD19D2">
        <w:rPr>
          <w:rFonts w:ascii="Arial" w:hAnsi="Arial" w:cs="Arial"/>
          <w:b/>
          <w:color w:val="8DB3E2"/>
          <w:sz w:val="28"/>
          <w:szCs w:val="28"/>
          <w:u w:val="single"/>
        </w:rPr>
        <w:t>BIBLIOGRAFÍA</w:t>
      </w:r>
    </w:p>
    <w:p w:rsidR="006E4232" w:rsidRPr="006E4232" w:rsidRDefault="006E4232" w:rsidP="00813857">
      <w:pPr>
        <w:spacing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Pittaluga, Roberto (2010). Pensar la dictadur</w:t>
      </w:r>
      <w:r w:rsidRPr="006E4232">
        <w:rPr>
          <w:rFonts w:ascii="Verdana" w:hAnsi="Verdana" w:cs="Calibri"/>
        </w:rPr>
        <w:t>a</w:t>
      </w:r>
      <w:r>
        <w:rPr>
          <w:rFonts w:ascii="Verdana" w:hAnsi="Verdana" w:cs="Calibri"/>
        </w:rPr>
        <w:t>. Terrorismo de Estado en Argentina, respuestas y preguntas para su enseñanza, 2da edición. Ministerio de Educación de la Nación. Equipo Educación y Menoria. Buenos Aires.</w:t>
      </w:r>
    </w:p>
    <w:p w:rsidR="006E4232" w:rsidRPr="00F146AC" w:rsidRDefault="006E4232" w:rsidP="00813857">
      <w:pPr>
        <w:spacing w:line="240" w:lineRule="auto"/>
        <w:jc w:val="both"/>
        <w:rPr>
          <w:rFonts w:ascii="Verdana" w:hAnsi="Verdana" w:cs="Calibri"/>
          <w:b/>
        </w:rPr>
      </w:pPr>
    </w:p>
    <w:p w:rsidR="00813857" w:rsidRDefault="00A55927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</w:rPr>
      </w:pPr>
      <w:r>
        <w:rPr>
          <w:rFonts w:ascii="Arial" w:hAnsi="Arial" w:cs="Arial"/>
          <w:b/>
          <w:color w:val="8DB3E2"/>
          <w:sz w:val="28"/>
          <w:szCs w:val="28"/>
        </w:rPr>
        <w:t>Unidad IV</w:t>
      </w:r>
    </w:p>
    <w:p w:rsidR="00A55927" w:rsidRPr="00E85071" w:rsidRDefault="00F60547" w:rsidP="008138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5071">
        <w:rPr>
          <w:rFonts w:ascii="Arial" w:hAnsi="Arial" w:cs="Arial"/>
          <w:b/>
          <w:sz w:val="24"/>
          <w:szCs w:val="24"/>
        </w:rPr>
        <w:t>¿De qué valores hablamos?</w:t>
      </w:r>
    </w:p>
    <w:p w:rsidR="00B441AA" w:rsidRPr="00B441AA" w:rsidRDefault="00FA34B1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41AA">
        <w:rPr>
          <w:rFonts w:ascii="Arial" w:hAnsi="Arial" w:cs="Arial"/>
          <w:sz w:val="24"/>
          <w:szCs w:val="24"/>
        </w:rPr>
        <w:t xml:space="preserve">Hacia una definición de valores. ¿Crisis de </w:t>
      </w:r>
      <w:r w:rsidR="00821D0D" w:rsidRPr="00B441AA">
        <w:rPr>
          <w:rFonts w:ascii="Arial" w:hAnsi="Arial" w:cs="Arial"/>
          <w:sz w:val="24"/>
          <w:szCs w:val="24"/>
        </w:rPr>
        <w:t>qué</w:t>
      </w:r>
      <w:r w:rsidRPr="00B441AA">
        <w:rPr>
          <w:rFonts w:ascii="Arial" w:hAnsi="Arial" w:cs="Arial"/>
          <w:sz w:val="24"/>
          <w:szCs w:val="24"/>
        </w:rPr>
        <w:t xml:space="preserve"> valores? Valores de hecho y valores de derecho. Valores en la escuela. Vaguedad voluntaria. Vaguedad involuntaria. La responsabilidad ante la crisis de valores. El rol de la escuela.</w:t>
      </w:r>
      <w:r w:rsidR="00DD5609" w:rsidRPr="00B441AA">
        <w:rPr>
          <w:rFonts w:ascii="Arial" w:hAnsi="Arial" w:cs="Arial"/>
          <w:sz w:val="24"/>
          <w:szCs w:val="24"/>
        </w:rPr>
        <w:t xml:space="preserve"> </w:t>
      </w:r>
    </w:p>
    <w:p w:rsidR="00A63180" w:rsidRPr="00B441AA" w:rsidRDefault="00B441AA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41AA">
        <w:rPr>
          <w:rFonts w:ascii="Arial" w:hAnsi="Arial" w:cs="Arial"/>
          <w:sz w:val="24"/>
          <w:szCs w:val="24"/>
        </w:rPr>
        <w:t>-</w:t>
      </w:r>
      <w:r w:rsidR="00DD5609" w:rsidRPr="00B441AA">
        <w:rPr>
          <w:rFonts w:ascii="Arial" w:hAnsi="Arial" w:cs="Arial"/>
          <w:sz w:val="24"/>
          <w:szCs w:val="24"/>
        </w:rPr>
        <w:t>Ética Posmoderna. Responsabilidad  Moral, reglas éticas. Incertidumbre moral. Un dilema ético. La universalidad ética. ¿Progreso moral</w:t>
      </w:r>
      <w:proofErr w:type="gramStart"/>
      <w:r w:rsidR="00DD5609" w:rsidRPr="00B441AA">
        <w:rPr>
          <w:rFonts w:ascii="Arial" w:hAnsi="Arial" w:cs="Arial"/>
          <w:sz w:val="24"/>
          <w:szCs w:val="24"/>
        </w:rPr>
        <w:t>?</w:t>
      </w:r>
      <w:r w:rsidR="00821D0D" w:rsidRPr="00B441AA">
        <w:rPr>
          <w:rFonts w:ascii="Arial" w:hAnsi="Arial" w:cs="Arial"/>
          <w:sz w:val="24"/>
          <w:szCs w:val="24"/>
        </w:rPr>
        <w:t>.</w:t>
      </w:r>
      <w:proofErr w:type="gramEnd"/>
    </w:p>
    <w:p w:rsidR="00821D0D" w:rsidRDefault="00821D0D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41AA">
        <w:rPr>
          <w:rFonts w:ascii="Arial" w:hAnsi="Arial" w:cs="Arial"/>
          <w:sz w:val="24"/>
          <w:szCs w:val="24"/>
        </w:rPr>
        <w:t xml:space="preserve">-La función social </w:t>
      </w:r>
      <w:r w:rsidR="00B441AA" w:rsidRPr="00B441AA">
        <w:rPr>
          <w:rFonts w:ascii="Arial" w:hAnsi="Arial" w:cs="Arial"/>
          <w:sz w:val="24"/>
          <w:szCs w:val="24"/>
        </w:rPr>
        <w:t>d</w:t>
      </w:r>
      <w:r w:rsidRPr="00B441AA">
        <w:rPr>
          <w:rFonts w:ascii="Arial" w:hAnsi="Arial" w:cs="Arial"/>
          <w:sz w:val="24"/>
          <w:szCs w:val="24"/>
        </w:rPr>
        <w:t>e la escuela a la luz de los principios de justicia política.</w:t>
      </w:r>
      <w:r w:rsidR="00B441AA" w:rsidRPr="00B441AA">
        <w:rPr>
          <w:rFonts w:ascii="Arial" w:hAnsi="Arial" w:cs="Arial"/>
          <w:sz w:val="24"/>
          <w:szCs w:val="24"/>
        </w:rPr>
        <w:t xml:space="preserve"> ¿Qué quiere decir enseñar ética? La Ética como disciplina racional. Autoestima y cuidado del otro. ¿Qué quiere decir enseñar ciudadanía</w:t>
      </w:r>
      <w:proofErr w:type="gramStart"/>
      <w:r w:rsidR="00B441AA" w:rsidRPr="00B441AA">
        <w:rPr>
          <w:rFonts w:ascii="Arial" w:hAnsi="Arial" w:cs="Arial"/>
          <w:sz w:val="24"/>
          <w:szCs w:val="24"/>
        </w:rPr>
        <w:t>?.</w:t>
      </w:r>
      <w:proofErr w:type="gramEnd"/>
      <w:r w:rsidR="00B441AA" w:rsidRPr="00B441AA">
        <w:rPr>
          <w:rFonts w:ascii="Arial" w:hAnsi="Arial" w:cs="Arial"/>
          <w:sz w:val="24"/>
          <w:szCs w:val="24"/>
        </w:rPr>
        <w:t xml:space="preserve"> La ciudadanía como categoría codisciplinar. Participación democrática y pluralismo. Pensamiento crítico y solidaridad social.</w:t>
      </w:r>
    </w:p>
    <w:p w:rsidR="000D1D64" w:rsidRDefault="000D1D64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Las nuevas ciudadanías de la globalización. Los rasgos  de la globalización. Categorías de la ciudadanía. </w:t>
      </w:r>
    </w:p>
    <w:p w:rsidR="00B441AA" w:rsidRDefault="00B441AA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41AA" w:rsidRPr="00DD19D2" w:rsidRDefault="00DD19D2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  <w:u w:val="single"/>
        </w:rPr>
      </w:pPr>
      <w:r>
        <w:rPr>
          <w:rFonts w:ascii="Arial" w:hAnsi="Arial" w:cs="Arial"/>
          <w:b/>
          <w:color w:val="8DB3E2"/>
          <w:sz w:val="28"/>
          <w:szCs w:val="28"/>
          <w:u w:val="single"/>
        </w:rPr>
        <w:t>BIBLIOGRAFÍA</w:t>
      </w:r>
    </w:p>
    <w:p w:rsidR="00E85071" w:rsidRDefault="00E85071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Santiago, Gustavo (2004). El desafío de los valores.</w:t>
      </w:r>
    </w:p>
    <w:p w:rsidR="00E85071" w:rsidRDefault="00E85071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Zygmunt. (2005) “Ética Posmoderna”. Editorial Siglo XXI. Buenos Aires. </w:t>
      </w:r>
    </w:p>
    <w:p w:rsidR="00E85071" w:rsidRDefault="00E85071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Cullen, Carlos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2004). Autonomía moral, participación democrática y cuidado del otro. Ediciones Novedades Educativas. Buenos Aires.</w:t>
      </w:r>
    </w:p>
    <w:p w:rsidR="000D1D64" w:rsidRDefault="00BA6BAE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Lavolpe, Francisco. (2008)</w:t>
      </w:r>
      <w:r w:rsidR="000D1D64">
        <w:rPr>
          <w:rFonts w:ascii="Arial" w:hAnsi="Arial" w:cs="Arial"/>
          <w:sz w:val="24"/>
          <w:szCs w:val="24"/>
        </w:rPr>
        <w:t xml:space="preserve"> Las nuevas ciudadanías de la globalización</w:t>
      </w:r>
      <w:r>
        <w:rPr>
          <w:rFonts w:ascii="Arial" w:hAnsi="Arial" w:cs="Arial"/>
          <w:sz w:val="24"/>
          <w:szCs w:val="24"/>
        </w:rPr>
        <w:t>. Holográmica. Facultad de Ciencias Sociales. Universidad Nacional de Lomas de Zamora.</w:t>
      </w:r>
    </w:p>
    <w:p w:rsidR="00DD19D2" w:rsidRDefault="00DD19D2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B74" w:rsidRDefault="004C3B74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  <w:u w:val="single"/>
        </w:rPr>
      </w:pPr>
    </w:p>
    <w:p w:rsidR="00DD19D2" w:rsidRDefault="00DD19D2" w:rsidP="00813857">
      <w:pPr>
        <w:spacing w:line="240" w:lineRule="auto"/>
        <w:jc w:val="both"/>
        <w:rPr>
          <w:rFonts w:ascii="Arial" w:hAnsi="Arial" w:cs="Arial"/>
          <w:b/>
          <w:color w:val="8DB3E2"/>
          <w:sz w:val="28"/>
          <w:szCs w:val="28"/>
          <w:u w:val="single"/>
        </w:rPr>
      </w:pPr>
      <w:r>
        <w:rPr>
          <w:rFonts w:ascii="Arial" w:hAnsi="Arial" w:cs="Arial"/>
          <w:b/>
          <w:color w:val="8DB3E2"/>
          <w:sz w:val="28"/>
          <w:szCs w:val="28"/>
          <w:u w:val="single"/>
        </w:rPr>
        <w:lastRenderedPageBreak/>
        <w:t>EVALUACIÓN</w:t>
      </w:r>
    </w:p>
    <w:p w:rsidR="00DD19D2" w:rsidRPr="000904A8" w:rsidRDefault="00DD19D2" w:rsidP="008138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04A8">
        <w:rPr>
          <w:rFonts w:ascii="Arial" w:hAnsi="Arial" w:cs="Arial"/>
          <w:b/>
          <w:sz w:val="24"/>
          <w:szCs w:val="24"/>
        </w:rPr>
        <w:t>Criterios:</w:t>
      </w:r>
    </w:p>
    <w:p w:rsidR="00DD19D2" w:rsidRDefault="00DD19D2" w:rsidP="00DD19D2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en clase</w:t>
      </w:r>
    </w:p>
    <w:p w:rsidR="00DD19D2" w:rsidRDefault="00DD19D2" w:rsidP="00DD19D2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Interpretación de consignas</w:t>
      </w:r>
    </w:p>
    <w:p w:rsidR="00DD19D2" w:rsidRDefault="00DD19D2" w:rsidP="00DD19D2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Claridad y precisión conceptual, ortografía </w:t>
      </w:r>
      <w:r w:rsidR="000904A8">
        <w:rPr>
          <w:rFonts w:ascii="Arial" w:hAnsi="Arial" w:cs="Arial"/>
          <w:sz w:val="24"/>
          <w:szCs w:val="24"/>
        </w:rPr>
        <w:t>y coherencia</w:t>
      </w:r>
    </w:p>
    <w:p w:rsidR="000904A8" w:rsidRDefault="000904A8" w:rsidP="00DD19D2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y aprobación de trabajos prácticos</w:t>
      </w:r>
    </w:p>
    <w:p w:rsidR="000904A8" w:rsidRDefault="000904A8" w:rsidP="00DD19D2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Expresión oral y escrita</w:t>
      </w:r>
    </w:p>
    <w:p w:rsidR="000904A8" w:rsidRDefault="000904A8" w:rsidP="00DD19D2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 crítica ante las fuentes y bibliografía.</w:t>
      </w:r>
    </w:p>
    <w:p w:rsidR="000904A8" w:rsidRPr="000904A8" w:rsidRDefault="000904A8" w:rsidP="000904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04A8">
        <w:rPr>
          <w:rFonts w:ascii="Arial" w:hAnsi="Arial" w:cs="Arial"/>
          <w:b/>
          <w:sz w:val="24"/>
          <w:szCs w:val="24"/>
        </w:rPr>
        <w:t>Promoción directa:</w:t>
      </w:r>
    </w:p>
    <w:p w:rsidR="000904A8" w:rsidRDefault="000904A8" w:rsidP="000904A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tomará u parcial y un recuperatorio por cuatrimestre y deberán ser aprobados con 8 (ocho) o más.</w:t>
      </w:r>
    </w:p>
    <w:p w:rsidR="000904A8" w:rsidRDefault="000904A8" w:rsidP="000904A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75% de asistencia a clases</w:t>
      </w:r>
    </w:p>
    <w:p w:rsidR="000904A8" w:rsidRDefault="000904A8" w:rsidP="000904A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final: una vez aprobado el cursado, según requisitos explicitados anteriormente, el alumno rendirá un coloquio final.</w:t>
      </w:r>
    </w:p>
    <w:p w:rsidR="000904A8" w:rsidRDefault="000904A8" w:rsidP="000904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8" w:rsidRDefault="000904A8" w:rsidP="000904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04A8">
        <w:rPr>
          <w:rFonts w:ascii="Arial" w:hAnsi="Arial" w:cs="Arial"/>
          <w:b/>
          <w:sz w:val="24"/>
          <w:szCs w:val="24"/>
        </w:rPr>
        <w:t>Aprobación y /o regularización:</w:t>
      </w:r>
    </w:p>
    <w:p w:rsidR="000904A8" w:rsidRDefault="000904A8" w:rsidP="000904A8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04A8">
        <w:rPr>
          <w:rFonts w:ascii="Arial" w:hAnsi="Arial" w:cs="Arial"/>
          <w:sz w:val="24"/>
          <w:szCs w:val="24"/>
        </w:rPr>
        <w:t>Un parcial por cuatrimestre con carácter obligatorio</w:t>
      </w:r>
    </w:p>
    <w:p w:rsidR="000904A8" w:rsidRDefault="000904A8" w:rsidP="000904A8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Presentación y aprobación de Trabajos Prácticos en cada cuatrimestre.</w:t>
      </w:r>
    </w:p>
    <w:p w:rsidR="000904A8" w:rsidRDefault="000904A8" w:rsidP="000904A8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 de cursado presencial, 75% de asistencia.</w:t>
      </w:r>
    </w:p>
    <w:p w:rsidR="00214F82" w:rsidRDefault="00214F82" w:rsidP="00214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F82" w:rsidRDefault="00214F82" w:rsidP="00214F8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Alumnos Libres:</w:t>
      </w:r>
    </w:p>
    <w:p w:rsidR="00214F82" w:rsidRDefault="00214F82" w:rsidP="00214F82">
      <w:pPr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Pr="00214F82">
        <w:rPr>
          <w:rFonts w:ascii="Arial" w:hAnsi="Arial" w:cs="Arial"/>
          <w:sz w:val="24"/>
          <w:szCs w:val="24"/>
        </w:rPr>
        <w:t xml:space="preserve"> considera indispensable </w:t>
      </w:r>
      <w:r>
        <w:rPr>
          <w:rFonts w:ascii="Arial" w:hAnsi="Arial" w:cs="Arial"/>
          <w:sz w:val="24"/>
          <w:szCs w:val="24"/>
        </w:rPr>
        <w:t>una reunión con el docente, veinte días antes del examen para acorar bibliografía obligatoria y criterios de evaluación.</w:t>
      </w:r>
    </w:p>
    <w:p w:rsidR="00214F82" w:rsidRPr="00214F82" w:rsidRDefault="00214F82" w:rsidP="00214F82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04A8" w:rsidRDefault="000904A8" w:rsidP="000904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04A8">
        <w:rPr>
          <w:rFonts w:ascii="Arial" w:hAnsi="Arial" w:cs="Arial"/>
          <w:b/>
          <w:sz w:val="24"/>
          <w:szCs w:val="24"/>
        </w:rPr>
        <w:t>Instrumentos:</w:t>
      </w:r>
    </w:p>
    <w:p w:rsidR="000904A8" w:rsidRPr="004C3B74" w:rsidRDefault="004C3B74" w:rsidP="000904A8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B74">
        <w:rPr>
          <w:rFonts w:ascii="Arial" w:hAnsi="Arial" w:cs="Arial"/>
          <w:sz w:val="24"/>
          <w:szCs w:val="24"/>
        </w:rPr>
        <w:t>Observación</w:t>
      </w:r>
    </w:p>
    <w:p w:rsidR="004C3B74" w:rsidRPr="004C3B74" w:rsidRDefault="004C3B74" w:rsidP="000904A8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Trabajos prácticos</w:t>
      </w:r>
    </w:p>
    <w:p w:rsidR="004C3B74" w:rsidRPr="004C3B74" w:rsidRDefault="004C3B74" w:rsidP="000904A8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control</w:t>
      </w:r>
    </w:p>
    <w:p w:rsidR="004C3B74" w:rsidRPr="000904A8" w:rsidRDefault="004C3B74" w:rsidP="000904A8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escrita.</w:t>
      </w:r>
    </w:p>
    <w:p w:rsidR="000904A8" w:rsidRDefault="000904A8" w:rsidP="000904A8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04A8" w:rsidRPr="000904A8" w:rsidRDefault="000904A8" w:rsidP="000904A8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04A8" w:rsidRPr="000904A8" w:rsidRDefault="000904A8" w:rsidP="000904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8" w:rsidRDefault="000904A8" w:rsidP="000904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8" w:rsidRPr="00DD19D2" w:rsidRDefault="000904A8" w:rsidP="000904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6BAE" w:rsidRDefault="00BA6BAE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19D2" w:rsidRDefault="00DD19D2" w:rsidP="00813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19D2" w:rsidRPr="00162605" w:rsidRDefault="00DD19D2" w:rsidP="00DD19D2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D19D2" w:rsidRPr="002831C2" w:rsidRDefault="00DD19D2" w:rsidP="00DD19D2">
      <w:pPr>
        <w:jc w:val="both"/>
        <w:rPr>
          <w:rFonts w:ascii="Times New Roman" w:hAnsi="Times New Roman"/>
          <w:sz w:val="24"/>
          <w:szCs w:val="24"/>
        </w:rPr>
      </w:pPr>
      <w:r w:rsidRPr="002831C2">
        <w:rPr>
          <w:rFonts w:ascii="Times New Roman" w:hAnsi="Times New Roman"/>
          <w:sz w:val="24"/>
          <w:szCs w:val="24"/>
        </w:rPr>
        <w:t> </w:t>
      </w:r>
    </w:p>
    <w:p w:rsidR="00DD19D2" w:rsidRPr="002831C2" w:rsidRDefault="00DD19D2" w:rsidP="00DD19D2">
      <w:pPr>
        <w:jc w:val="both"/>
        <w:rPr>
          <w:rFonts w:ascii="Times New Roman" w:hAnsi="Times New Roman"/>
          <w:sz w:val="24"/>
          <w:szCs w:val="24"/>
        </w:rPr>
      </w:pPr>
      <w:r w:rsidRPr="002831C2">
        <w:rPr>
          <w:rFonts w:ascii="Times New Roman" w:hAnsi="Times New Roman"/>
          <w:sz w:val="24"/>
          <w:szCs w:val="24"/>
        </w:rPr>
        <w:t> </w:t>
      </w:r>
    </w:p>
    <w:p w:rsidR="00B441AA" w:rsidRDefault="00B441AA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21D0D" w:rsidRDefault="00821D0D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5609" w:rsidRDefault="00DD5609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5609" w:rsidRDefault="00DD5609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5609" w:rsidRDefault="00DD5609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A34B1" w:rsidRDefault="00FA34B1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A34B1" w:rsidRDefault="00FA34B1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A34B1" w:rsidRPr="00F60547" w:rsidRDefault="00FA34B1" w:rsidP="0081385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13857" w:rsidRPr="00813857" w:rsidRDefault="00813857" w:rsidP="008138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5FF" w:rsidRDefault="009175FF" w:rsidP="009175FF">
      <w:pPr>
        <w:spacing w:after="0" w:line="240" w:lineRule="auto"/>
        <w:jc w:val="both"/>
        <w:rPr>
          <w:rFonts w:ascii="Arial" w:eastAsia="Times New Roman" w:hAnsi="Arial" w:cs="Arial"/>
          <w:b/>
          <w:color w:val="8DB3E2"/>
          <w:sz w:val="28"/>
          <w:szCs w:val="28"/>
          <w:lang w:eastAsia="es-ES"/>
        </w:rPr>
      </w:pPr>
    </w:p>
    <w:p w:rsidR="009175FF" w:rsidRPr="00813857" w:rsidRDefault="009175FF" w:rsidP="0081385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D179E" w:rsidRDefault="008D179E" w:rsidP="008D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179E" w:rsidRDefault="008D179E" w:rsidP="008D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179E" w:rsidRPr="008D179E" w:rsidRDefault="008D179E" w:rsidP="008D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7BAF" w:rsidRPr="00637BAF" w:rsidRDefault="00637BAF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637BAF" w:rsidRDefault="00637BAF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40BE" w:rsidRPr="007740BE" w:rsidRDefault="007740BE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40BE" w:rsidRPr="007740BE" w:rsidRDefault="007740BE" w:rsidP="007740B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EFC" w:rsidRPr="00F146AC" w:rsidRDefault="00FA6EFC" w:rsidP="00FA6EFC">
      <w:pPr>
        <w:spacing w:line="240" w:lineRule="auto"/>
        <w:jc w:val="both"/>
        <w:rPr>
          <w:rFonts w:ascii="Verdana" w:hAnsi="Verdana" w:cs="Calibri"/>
          <w:b/>
        </w:rPr>
      </w:pPr>
    </w:p>
    <w:p w:rsidR="00EA0E3C" w:rsidRPr="00F146AC" w:rsidRDefault="00EA0E3C" w:rsidP="00EA0E3C">
      <w:pPr>
        <w:spacing w:line="240" w:lineRule="auto"/>
        <w:jc w:val="both"/>
        <w:rPr>
          <w:rFonts w:ascii="Verdana" w:hAnsi="Verdana" w:cs="Calibri"/>
          <w:color w:val="000000"/>
        </w:rPr>
      </w:pPr>
    </w:p>
    <w:p w:rsidR="00EA0E3C" w:rsidRPr="00F146AC" w:rsidRDefault="00EA0E3C" w:rsidP="00EA0E3C">
      <w:pPr>
        <w:spacing w:line="240" w:lineRule="auto"/>
        <w:jc w:val="both"/>
        <w:rPr>
          <w:rFonts w:ascii="Verdana" w:hAnsi="Verdana" w:cs="Calibri"/>
          <w:color w:val="000000"/>
        </w:rPr>
      </w:pPr>
    </w:p>
    <w:p w:rsidR="00EA0E3C" w:rsidRPr="00F146AC" w:rsidRDefault="00214F82" w:rsidP="00EA0E3C">
      <w:pPr>
        <w:spacing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>”</w:t>
      </w:r>
    </w:p>
    <w:p w:rsidR="00EA0E3C" w:rsidRPr="00F146AC" w:rsidRDefault="00EA0E3C" w:rsidP="00EA0E3C">
      <w:pPr>
        <w:spacing w:line="240" w:lineRule="auto"/>
        <w:jc w:val="both"/>
        <w:rPr>
          <w:rFonts w:ascii="Verdana" w:hAnsi="Verdana" w:cs="Calibri"/>
          <w:b/>
        </w:rPr>
      </w:pPr>
    </w:p>
    <w:p w:rsidR="00EA0E3C" w:rsidRPr="00F146AC" w:rsidRDefault="00EA0E3C" w:rsidP="00EA0E3C">
      <w:pPr>
        <w:spacing w:line="240" w:lineRule="auto"/>
        <w:jc w:val="both"/>
        <w:rPr>
          <w:rFonts w:ascii="Verdana" w:hAnsi="Verdana" w:cs="Calibri"/>
        </w:rPr>
      </w:pPr>
    </w:p>
    <w:p w:rsidR="00FA6EFC" w:rsidRPr="00F146AC" w:rsidRDefault="00FA6EFC" w:rsidP="00FA6EFC">
      <w:pPr>
        <w:spacing w:line="240" w:lineRule="auto"/>
        <w:jc w:val="both"/>
        <w:rPr>
          <w:rFonts w:ascii="Verdana" w:hAnsi="Verdana" w:cs="Calibri"/>
        </w:rPr>
      </w:pPr>
    </w:p>
    <w:p w:rsidR="00FA6EFC" w:rsidRPr="00F146AC" w:rsidRDefault="00FA6EFC" w:rsidP="00FA6EFC">
      <w:pPr>
        <w:spacing w:line="240" w:lineRule="auto"/>
        <w:jc w:val="both"/>
        <w:rPr>
          <w:rFonts w:ascii="Verdana" w:hAnsi="Verdana" w:cs="Calibri"/>
        </w:rPr>
      </w:pPr>
    </w:p>
    <w:p w:rsidR="00FA6EFC" w:rsidRPr="00F146AC" w:rsidRDefault="00FA6EFC" w:rsidP="00FA6EFC">
      <w:pPr>
        <w:spacing w:line="240" w:lineRule="auto"/>
        <w:jc w:val="both"/>
        <w:rPr>
          <w:rFonts w:ascii="Verdana" w:hAnsi="Verdana" w:cs="Calibri"/>
          <w:b/>
        </w:rPr>
      </w:pPr>
    </w:p>
    <w:p w:rsidR="00F410D1" w:rsidRDefault="00F410D1">
      <w:pPr>
        <w:rPr>
          <w:rFonts w:ascii="Arial" w:hAnsi="Arial" w:cs="Arial"/>
        </w:rPr>
      </w:pPr>
    </w:p>
    <w:p w:rsidR="00F410D1" w:rsidRPr="00F410D1" w:rsidRDefault="00F410D1">
      <w:pPr>
        <w:rPr>
          <w:rFonts w:ascii="Arial" w:hAnsi="Arial" w:cs="Arial"/>
          <w:sz w:val="28"/>
          <w:szCs w:val="28"/>
        </w:rPr>
      </w:pPr>
    </w:p>
    <w:p w:rsidR="00F410D1" w:rsidRPr="00F146AC" w:rsidRDefault="00F410D1" w:rsidP="00F410D1">
      <w:pPr>
        <w:spacing w:line="240" w:lineRule="auto"/>
        <w:jc w:val="both"/>
        <w:rPr>
          <w:rFonts w:ascii="Verdana" w:hAnsi="Verdana" w:cs="Calibri"/>
          <w:b/>
        </w:rPr>
      </w:pPr>
    </w:p>
    <w:p w:rsidR="00F410D1" w:rsidRPr="00F146AC" w:rsidRDefault="00F410D1" w:rsidP="00F410D1">
      <w:pPr>
        <w:spacing w:line="240" w:lineRule="auto"/>
        <w:jc w:val="both"/>
        <w:rPr>
          <w:rFonts w:ascii="Verdana" w:hAnsi="Verdana" w:cs="Calibri"/>
        </w:rPr>
      </w:pPr>
    </w:p>
    <w:p w:rsidR="00F410D1" w:rsidRDefault="00F410D1">
      <w:pPr>
        <w:rPr>
          <w:rFonts w:ascii="Arial" w:hAnsi="Arial" w:cs="Arial"/>
        </w:rPr>
      </w:pPr>
    </w:p>
    <w:p w:rsidR="00F410D1" w:rsidRDefault="00F410D1">
      <w:pPr>
        <w:rPr>
          <w:rFonts w:ascii="Arial" w:hAnsi="Arial" w:cs="Arial"/>
        </w:rPr>
      </w:pPr>
    </w:p>
    <w:p w:rsidR="00F410D1" w:rsidRDefault="00F410D1">
      <w:pPr>
        <w:rPr>
          <w:rFonts w:ascii="Arial" w:hAnsi="Arial" w:cs="Arial"/>
        </w:rPr>
      </w:pPr>
    </w:p>
    <w:p w:rsidR="00FA6BE6" w:rsidRPr="00F146AC" w:rsidRDefault="00FA6BE6" w:rsidP="00FA6BE6">
      <w:pPr>
        <w:spacing w:line="240" w:lineRule="auto"/>
        <w:jc w:val="both"/>
        <w:rPr>
          <w:rFonts w:ascii="Verdana" w:hAnsi="Verdana" w:cs="Calibri"/>
          <w:color w:val="FF0000"/>
        </w:rPr>
      </w:pPr>
    </w:p>
    <w:p w:rsidR="00FA6BE6" w:rsidRPr="00F146AC" w:rsidRDefault="00FA6BE6" w:rsidP="00FA6BE6">
      <w:pPr>
        <w:spacing w:line="240" w:lineRule="auto"/>
        <w:jc w:val="both"/>
        <w:rPr>
          <w:rFonts w:ascii="Verdana" w:hAnsi="Verdana" w:cs="Calibri"/>
        </w:rPr>
      </w:pPr>
    </w:p>
    <w:p w:rsidR="00FA6BE6" w:rsidRDefault="00FA6BE6">
      <w:pPr>
        <w:rPr>
          <w:rFonts w:ascii="Arial" w:hAnsi="Arial" w:cs="Arial"/>
        </w:rPr>
      </w:pPr>
    </w:p>
    <w:p w:rsidR="00370BD0" w:rsidRDefault="00370BD0">
      <w:pPr>
        <w:rPr>
          <w:rFonts w:ascii="Arial" w:hAnsi="Arial" w:cs="Arial"/>
        </w:rPr>
      </w:pPr>
    </w:p>
    <w:p w:rsidR="002167F0" w:rsidRDefault="002167F0">
      <w:pPr>
        <w:rPr>
          <w:rFonts w:ascii="Arial" w:hAnsi="Arial" w:cs="Arial"/>
        </w:rPr>
      </w:pPr>
    </w:p>
    <w:p w:rsidR="002167F0" w:rsidRPr="004209EF" w:rsidRDefault="002167F0">
      <w:pPr>
        <w:rPr>
          <w:rFonts w:ascii="Arial" w:hAnsi="Arial" w:cs="Arial"/>
        </w:rPr>
      </w:pPr>
    </w:p>
    <w:p w:rsidR="00541A5A" w:rsidRPr="00541A5A" w:rsidRDefault="00541A5A">
      <w:pPr>
        <w:rPr>
          <w:rFonts w:ascii="Arial" w:hAnsi="Arial" w:cs="Arial"/>
        </w:rPr>
      </w:pPr>
    </w:p>
    <w:p w:rsidR="00524A34" w:rsidRDefault="00524A34"/>
    <w:p w:rsidR="00524A34" w:rsidRPr="00541A5A" w:rsidRDefault="00524A34">
      <w:pPr>
        <w:rPr>
          <w:rFonts w:ascii="Arial" w:hAnsi="Arial" w:cs="Arial"/>
          <w:color w:val="8DB3E2"/>
        </w:rPr>
      </w:pPr>
    </w:p>
    <w:sectPr w:rsidR="00524A34" w:rsidRPr="00541A5A" w:rsidSect="007A7E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70" w:rsidRDefault="005D1270" w:rsidP="00541A5A">
      <w:pPr>
        <w:spacing w:after="0" w:line="240" w:lineRule="auto"/>
      </w:pPr>
      <w:r>
        <w:separator/>
      </w:r>
    </w:p>
  </w:endnote>
  <w:endnote w:type="continuationSeparator" w:id="0">
    <w:p w:rsidR="005D1270" w:rsidRDefault="005D1270" w:rsidP="0054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70" w:rsidRDefault="005D1270" w:rsidP="00541A5A">
      <w:pPr>
        <w:spacing w:after="0" w:line="240" w:lineRule="auto"/>
      </w:pPr>
      <w:r>
        <w:separator/>
      </w:r>
    </w:p>
  </w:footnote>
  <w:footnote w:type="continuationSeparator" w:id="0">
    <w:p w:rsidR="005D1270" w:rsidRDefault="005D1270" w:rsidP="0054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541A5A">
      <w:trPr>
        <w:trHeight w:val="288"/>
      </w:trPr>
      <w:tc>
        <w:tcPr>
          <w:tcW w:w="7765" w:type="dxa"/>
        </w:tcPr>
        <w:p w:rsidR="00541A5A" w:rsidRDefault="00541A5A" w:rsidP="00541A5A">
          <w:pPr>
            <w:pStyle w:val="Encabezado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INSTITUTO DE EDUCACIÓN SUPERIOR Nº 7</w:t>
          </w:r>
        </w:p>
      </w:tc>
      <w:tc>
        <w:tcPr>
          <w:tcW w:w="1105" w:type="dxa"/>
        </w:tcPr>
        <w:p w:rsidR="00541A5A" w:rsidRDefault="00541A5A" w:rsidP="00541A5A">
          <w:pPr>
            <w:pStyle w:val="Encabezado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2017</w:t>
          </w:r>
        </w:p>
      </w:tc>
    </w:tr>
  </w:tbl>
  <w:p w:rsidR="00541A5A" w:rsidRDefault="00541A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6E0"/>
    <w:multiLevelType w:val="hybridMultilevel"/>
    <w:tmpl w:val="BA0CF1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0C3E"/>
    <w:multiLevelType w:val="hybridMultilevel"/>
    <w:tmpl w:val="990876B0"/>
    <w:lvl w:ilvl="0" w:tplc="2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BB4853"/>
    <w:multiLevelType w:val="hybridMultilevel"/>
    <w:tmpl w:val="C9F446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44924"/>
    <w:multiLevelType w:val="hybridMultilevel"/>
    <w:tmpl w:val="472CEB0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8545C"/>
    <w:multiLevelType w:val="hybridMultilevel"/>
    <w:tmpl w:val="8FD2DEC2"/>
    <w:lvl w:ilvl="0" w:tplc="A45036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75C50"/>
    <w:multiLevelType w:val="multilevel"/>
    <w:tmpl w:val="4D402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D9A32AB"/>
    <w:multiLevelType w:val="hybridMultilevel"/>
    <w:tmpl w:val="31BEA38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83324"/>
    <w:multiLevelType w:val="hybridMultilevel"/>
    <w:tmpl w:val="4A7286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83F2C"/>
    <w:multiLevelType w:val="hybridMultilevel"/>
    <w:tmpl w:val="55FE6B36"/>
    <w:lvl w:ilvl="0" w:tplc="96AE37D0">
      <w:start w:val="1"/>
      <w:numFmt w:val="bullet"/>
      <w:lvlText w:val="o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078FC"/>
    <w:multiLevelType w:val="hybridMultilevel"/>
    <w:tmpl w:val="3736850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478D3"/>
    <w:multiLevelType w:val="multilevel"/>
    <w:tmpl w:val="32A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D7AF8"/>
    <w:multiLevelType w:val="hybridMultilevel"/>
    <w:tmpl w:val="B8869C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D59E9"/>
    <w:multiLevelType w:val="hybridMultilevel"/>
    <w:tmpl w:val="345E89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45AD5"/>
    <w:multiLevelType w:val="hybridMultilevel"/>
    <w:tmpl w:val="A112C1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28D1"/>
    <w:multiLevelType w:val="hybridMultilevel"/>
    <w:tmpl w:val="1EB8FA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D3E93"/>
    <w:multiLevelType w:val="multilevel"/>
    <w:tmpl w:val="B268B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310118"/>
    <w:multiLevelType w:val="hybridMultilevel"/>
    <w:tmpl w:val="620023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945"/>
    <w:multiLevelType w:val="hybridMultilevel"/>
    <w:tmpl w:val="9ACE3F6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729EB"/>
    <w:multiLevelType w:val="hybridMultilevel"/>
    <w:tmpl w:val="B2562EF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21811"/>
    <w:multiLevelType w:val="hybridMultilevel"/>
    <w:tmpl w:val="FB4057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3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3D"/>
    <w:rsid w:val="00076A06"/>
    <w:rsid w:val="000904A8"/>
    <w:rsid w:val="000D1D64"/>
    <w:rsid w:val="00167DAA"/>
    <w:rsid w:val="00182CDF"/>
    <w:rsid w:val="00214F82"/>
    <w:rsid w:val="002167F0"/>
    <w:rsid w:val="00370BD0"/>
    <w:rsid w:val="003C21A4"/>
    <w:rsid w:val="004209EF"/>
    <w:rsid w:val="0046654F"/>
    <w:rsid w:val="004C3B74"/>
    <w:rsid w:val="00524A34"/>
    <w:rsid w:val="00541A5A"/>
    <w:rsid w:val="005713BB"/>
    <w:rsid w:val="005D1270"/>
    <w:rsid w:val="00637BAF"/>
    <w:rsid w:val="006E4232"/>
    <w:rsid w:val="007740BE"/>
    <w:rsid w:val="007A7EAB"/>
    <w:rsid w:val="00813857"/>
    <w:rsid w:val="00821D0D"/>
    <w:rsid w:val="008416BC"/>
    <w:rsid w:val="008671DA"/>
    <w:rsid w:val="008D179E"/>
    <w:rsid w:val="009175FF"/>
    <w:rsid w:val="00A55927"/>
    <w:rsid w:val="00A63180"/>
    <w:rsid w:val="00A92F48"/>
    <w:rsid w:val="00B441AA"/>
    <w:rsid w:val="00BA6BAE"/>
    <w:rsid w:val="00C12BE1"/>
    <w:rsid w:val="00CD0B3D"/>
    <w:rsid w:val="00DD19D2"/>
    <w:rsid w:val="00DD5609"/>
    <w:rsid w:val="00E85071"/>
    <w:rsid w:val="00EA0E3C"/>
    <w:rsid w:val="00F410D1"/>
    <w:rsid w:val="00F60547"/>
    <w:rsid w:val="00FA34B1"/>
    <w:rsid w:val="00FA6BE6"/>
    <w:rsid w:val="00FA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5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1A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1A5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A5A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EA0E3C"/>
    <w:rPr>
      <w:b/>
      <w:bCs/>
    </w:rPr>
  </w:style>
  <w:style w:type="paragraph" w:customStyle="1" w:styleId="Default">
    <w:name w:val="Default"/>
    <w:rsid w:val="008138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E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SUPERIOR Nº 7</vt:lpstr>
    </vt:vector>
  </TitlesOfParts>
  <Company>Windows XP Titan Ultimate Edition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SUPERIOR Nº 7</dc:title>
  <dc:creator>Usuario</dc:creator>
  <cp:lastModifiedBy>USUARIO</cp:lastModifiedBy>
  <cp:revision>2</cp:revision>
  <dcterms:created xsi:type="dcterms:W3CDTF">2017-05-06T02:58:00Z</dcterms:created>
  <dcterms:modified xsi:type="dcterms:W3CDTF">2017-05-06T02:58:00Z</dcterms:modified>
</cp:coreProperties>
</file>