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A2" w:rsidRPr="00F72093" w:rsidRDefault="003952A2" w:rsidP="003952A2">
      <w:pPr>
        <w:spacing w:after="0" w:line="240" w:lineRule="auto"/>
        <w:jc w:val="center"/>
        <w:rPr>
          <w:rFonts w:ascii="Arial" w:hAnsi="Arial" w:cs="Arial"/>
          <w:b/>
        </w:rPr>
      </w:pPr>
      <w:r>
        <w:rPr>
          <w:rFonts w:ascii="Arial" w:hAnsi="Arial" w:cs="Arial"/>
          <w:b/>
        </w:rPr>
        <w:t xml:space="preserve">PLANIFICACIÓN ANUAL </w:t>
      </w:r>
    </w:p>
    <w:p w:rsidR="003952A2" w:rsidRPr="00625AE9" w:rsidRDefault="003952A2" w:rsidP="003952A2">
      <w:pPr>
        <w:spacing w:after="0" w:line="240" w:lineRule="auto"/>
        <w:jc w:val="center"/>
        <w:rPr>
          <w:rFonts w:ascii="Arial" w:hAnsi="Arial" w:cs="Arial"/>
          <w:b/>
        </w:rPr>
      </w:pPr>
      <w:r w:rsidRPr="00625AE9">
        <w:rPr>
          <w:rFonts w:ascii="Arial" w:hAnsi="Arial" w:cs="Arial"/>
          <w:b/>
        </w:rPr>
        <w:t>INSTITUTO SUPERIOR DE PROFESORADO Nº 7</w:t>
      </w:r>
    </w:p>
    <w:p w:rsidR="003952A2" w:rsidRPr="00877628" w:rsidRDefault="0070740A" w:rsidP="003952A2">
      <w:pPr>
        <w:spacing w:after="0" w:line="240" w:lineRule="auto"/>
        <w:jc w:val="center"/>
        <w:rPr>
          <w:rFonts w:ascii="Arial" w:hAnsi="Arial" w:cs="Arial"/>
          <w:b/>
        </w:rPr>
      </w:pPr>
      <w:r>
        <w:rPr>
          <w:rFonts w:ascii="Arial" w:hAnsi="Arial" w:cs="Arial"/>
          <w:b/>
        </w:rPr>
        <w:t xml:space="preserve">TÉCNICO SUPERIOR EN GESTIÓN DE ENERGÍAS RENOVABLES, USO RACIONAL Y EFICIENCIA ENERGÉTICA </w:t>
      </w:r>
    </w:p>
    <w:p w:rsidR="003952A2" w:rsidRPr="00877628" w:rsidRDefault="003952A2" w:rsidP="003952A2">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w:t>
      </w:r>
      <w:r w:rsidR="0070740A">
        <w:rPr>
          <w:rFonts w:ascii="Arial" w:hAnsi="Arial" w:cs="Arial"/>
          <w:b/>
          <w:bCs/>
          <w:color w:val="000000"/>
        </w:rPr>
        <w:t xml:space="preserve">AR: </w:t>
      </w:r>
      <w:r w:rsidR="0070740A" w:rsidRPr="0094282B">
        <w:rPr>
          <w:rFonts w:ascii="Arial" w:hAnsi="Arial" w:cs="Arial"/>
          <w:bCs/>
          <w:color w:val="000000"/>
        </w:rPr>
        <w:t xml:space="preserve">FÍSICA </w:t>
      </w:r>
    </w:p>
    <w:p w:rsidR="003952A2" w:rsidRPr="00877628" w:rsidRDefault="003952A2" w:rsidP="003952A2">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sidR="0070740A">
        <w:rPr>
          <w:rFonts w:ascii="Arial" w:hAnsi="Arial" w:cs="Arial"/>
          <w:color w:val="000000"/>
        </w:rPr>
        <w:t>Primer</w:t>
      </w:r>
      <w:r w:rsidRPr="00877628">
        <w:rPr>
          <w:rFonts w:ascii="Arial" w:hAnsi="Arial" w:cs="Arial"/>
          <w:color w:val="000000"/>
        </w:rPr>
        <w:t xml:space="preserve"> AÑO</w:t>
      </w:r>
    </w:p>
    <w:p w:rsidR="003952A2" w:rsidRPr="00877628" w:rsidRDefault="003952A2" w:rsidP="003952A2">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0070740A">
        <w:rPr>
          <w:rFonts w:ascii="Arial" w:hAnsi="Arial" w:cs="Arial"/>
          <w:color w:val="000000"/>
        </w:rPr>
        <w:t>3</w:t>
      </w:r>
      <w:r w:rsidRPr="00877628">
        <w:rPr>
          <w:rFonts w:ascii="Arial" w:hAnsi="Arial" w:cs="Arial"/>
          <w:color w:val="000000"/>
        </w:rPr>
        <w:t>HS CÁTEDRA</w:t>
      </w:r>
    </w:p>
    <w:p w:rsidR="003952A2" w:rsidRPr="00877628" w:rsidRDefault="003952A2" w:rsidP="003952A2">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3952A2" w:rsidRDefault="003952A2" w:rsidP="003952A2">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3952A2" w:rsidRPr="00625AE9" w:rsidRDefault="003952A2" w:rsidP="003952A2">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3952A2" w:rsidRPr="00625AE9" w:rsidRDefault="003952A2" w:rsidP="003952A2">
      <w:pPr>
        <w:autoSpaceDE w:val="0"/>
        <w:autoSpaceDN w:val="0"/>
        <w:adjustRightInd w:val="0"/>
        <w:spacing w:after="0" w:line="240" w:lineRule="auto"/>
        <w:jc w:val="center"/>
        <w:rPr>
          <w:rFonts w:ascii="Arial" w:hAnsi="Arial" w:cs="Arial"/>
          <w:b/>
        </w:rPr>
      </w:pPr>
      <w:r w:rsidRPr="00625AE9">
        <w:rPr>
          <w:rFonts w:ascii="Arial" w:hAnsi="Arial" w:cs="Arial"/>
          <w:b/>
        </w:rPr>
        <w:t>PLAN AP</w:t>
      </w:r>
      <w:r w:rsidR="0070740A">
        <w:rPr>
          <w:rFonts w:ascii="Arial" w:hAnsi="Arial" w:cs="Arial"/>
          <w:b/>
        </w:rPr>
        <w:t xml:space="preserve">ROBADO POR RESOLUCIÓN Nº  </w:t>
      </w:r>
      <w:r w:rsidR="0094282B">
        <w:rPr>
          <w:rFonts w:ascii="Arial" w:hAnsi="Arial" w:cs="Arial"/>
          <w:b/>
        </w:rPr>
        <w:t xml:space="preserve">      </w:t>
      </w:r>
    </w:p>
    <w:p w:rsidR="003952A2" w:rsidRDefault="003952A2" w:rsidP="003952A2">
      <w:pPr>
        <w:spacing w:after="0" w:line="240" w:lineRule="auto"/>
        <w:jc w:val="center"/>
        <w:rPr>
          <w:rFonts w:ascii="Arial" w:hAnsi="Arial" w:cs="Arial"/>
          <w:b/>
        </w:rPr>
      </w:pPr>
      <w:r>
        <w:rPr>
          <w:rFonts w:ascii="Arial" w:hAnsi="Arial" w:cs="Arial"/>
          <w:b/>
        </w:rPr>
        <w:t>CICLO LECTIVO 2017</w:t>
      </w:r>
    </w:p>
    <w:p w:rsidR="003952A2" w:rsidRDefault="003952A2" w:rsidP="003952A2">
      <w:pPr>
        <w:spacing w:after="0" w:line="240" w:lineRule="auto"/>
        <w:jc w:val="center"/>
        <w:rPr>
          <w:rFonts w:ascii="Arial" w:hAnsi="Arial" w:cs="Arial"/>
          <w:b/>
        </w:rPr>
      </w:pPr>
    </w:p>
    <w:p w:rsidR="003952A2" w:rsidRPr="00625AE9" w:rsidRDefault="003952A2" w:rsidP="003952A2">
      <w:pPr>
        <w:spacing w:after="0" w:line="240" w:lineRule="auto"/>
        <w:jc w:val="center"/>
        <w:rPr>
          <w:rFonts w:ascii="Arial" w:hAnsi="Arial" w:cs="Arial"/>
          <w:b/>
        </w:rPr>
      </w:pPr>
    </w:p>
    <w:p w:rsidR="003952A2" w:rsidRDefault="003952A2" w:rsidP="003952A2">
      <w:pPr>
        <w:autoSpaceDE w:val="0"/>
        <w:autoSpaceDN w:val="0"/>
        <w:adjustRightInd w:val="0"/>
        <w:spacing w:after="0" w:line="240" w:lineRule="auto"/>
        <w:jc w:val="center"/>
        <w:rPr>
          <w:rFonts w:ascii="Arial" w:hAnsi="Arial" w:cs="Arial"/>
          <w:color w:val="000000"/>
        </w:rPr>
      </w:pPr>
    </w:p>
    <w:tbl>
      <w:tblPr>
        <w:tblStyle w:val="Tablaconcuadrcula"/>
        <w:tblW w:w="9106" w:type="dxa"/>
        <w:tblLook w:val="04A0"/>
      </w:tblPr>
      <w:tblGrid>
        <w:gridCol w:w="2276"/>
        <w:gridCol w:w="2276"/>
        <w:gridCol w:w="2277"/>
        <w:gridCol w:w="2277"/>
      </w:tblGrid>
      <w:tr w:rsidR="003952A2" w:rsidTr="003952A2">
        <w:trPr>
          <w:trHeight w:val="272"/>
        </w:trPr>
        <w:tc>
          <w:tcPr>
            <w:tcW w:w="2276" w:type="dxa"/>
          </w:tcPr>
          <w:p w:rsidR="003952A2" w:rsidRDefault="003952A2" w:rsidP="003952A2">
            <w:pPr>
              <w:autoSpaceDE w:val="0"/>
              <w:autoSpaceDN w:val="0"/>
              <w:adjustRightInd w:val="0"/>
              <w:jc w:val="center"/>
              <w:rPr>
                <w:rFonts w:ascii="Arial" w:hAnsi="Arial" w:cs="Arial"/>
                <w:color w:val="000000"/>
              </w:rPr>
            </w:pPr>
            <w:r w:rsidRPr="003952A2">
              <w:rPr>
                <w:rFonts w:ascii="Arial" w:hAnsi="Arial" w:cs="Arial"/>
                <w:color w:val="000000"/>
              </w:rPr>
              <w:t>Ubicación en el diseño</w:t>
            </w:r>
          </w:p>
        </w:tc>
        <w:tc>
          <w:tcPr>
            <w:tcW w:w="2276" w:type="dxa"/>
          </w:tcPr>
          <w:p w:rsidR="003952A2" w:rsidRDefault="003952A2" w:rsidP="003952A2">
            <w:pPr>
              <w:autoSpaceDE w:val="0"/>
              <w:autoSpaceDN w:val="0"/>
              <w:adjustRightInd w:val="0"/>
              <w:jc w:val="center"/>
              <w:rPr>
                <w:rFonts w:ascii="Arial" w:hAnsi="Arial" w:cs="Arial"/>
                <w:color w:val="000000"/>
              </w:rPr>
            </w:pPr>
            <w:r w:rsidRPr="003952A2">
              <w:rPr>
                <w:rFonts w:ascii="Arial" w:hAnsi="Arial" w:cs="Arial"/>
                <w:color w:val="000000"/>
              </w:rPr>
              <w:t>Régimen de cursado</w:t>
            </w:r>
          </w:p>
        </w:tc>
        <w:tc>
          <w:tcPr>
            <w:tcW w:w="2277" w:type="dxa"/>
          </w:tcPr>
          <w:p w:rsidR="003952A2" w:rsidRDefault="003952A2" w:rsidP="003952A2">
            <w:pPr>
              <w:autoSpaceDE w:val="0"/>
              <w:autoSpaceDN w:val="0"/>
              <w:adjustRightInd w:val="0"/>
              <w:jc w:val="center"/>
              <w:rPr>
                <w:rFonts w:ascii="Arial" w:hAnsi="Arial" w:cs="Arial"/>
                <w:color w:val="000000"/>
              </w:rPr>
            </w:pPr>
            <w:r w:rsidRPr="003952A2">
              <w:rPr>
                <w:rFonts w:ascii="Arial" w:hAnsi="Arial" w:cs="Arial"/>
                <w:color w:val="000000"/>
              </w:rPr>
              <w:t>Horas cátedras semanales</w:t>
            </w:r>
          </w:p>
        </w:tc>
        <w:tc>
          <w:tcPr>
            <w:tcW w:w="2277" w:type="dxa"/>
          </w:tcPr>
          <w:p w:rsidR="003952A2" w:rsidRDefault="0099601D" w:rsidP="003952A2">
            <w:pPr>
              <w:autoSpaceDE w:val="0"/>
              <w:autoSpaceDN w:val="0"/>
              <w:adjustRightInd w:val="0"/>
              <w:jc w:val="center"/>
              <w:rPr>
                <w:rFonts w:ascii="Arial" w:hAnsi="Arial" w:cs="Arial"/>
                <w:color w:val="000000"/>
              </w:rPr>
            </w:pPr>
            <w:r w:rsidRPr="003952A2">
              <w:rPr>
                <w:rFonts w:ascii="Arial" w:hAnsi="Arial" w:cs="Arial"/>
                <w:color w:val="000000"/>
              </w:rPr>
              <w:t>Horas cátedras anuales</w:t>
            </w:r>
          </w:p>
        </w:tc>
      </w:tr>
      <w:tr w:rsidR="003952A2" w:rsidTr="003952A2">
        <w:trPr>
          <w:trHeight w:val="272"/>
        </w:trPr>
        <w:tc>
          <w:tcPr>
            <w:tcW w:w="2276" w:type="dxa"/>
          </w:tcPr>
          <w:p w:rsidR="003952A2" w:rsidRDefault="003952A2" w:rsidP="003952A2">
            <w:pPr>
              <w:autoSpaceDE w:val="0"/>
              <w:autoSpaceDN w:val="0"/>
              <w:adjustRightInd w:val="0"/>
              <w:jc w:val="center"/>
              <w:rPr>
                <w:rFonts w:ascii="Arial" w:hAnsi="Arial" w:cs="Arial"/>
                <w:color w:val="000000"/>
              </w:rPr>
            </w:pPr>
            <w:r w:rsidRPr="003952A2">
              <w:rPr>
                <w:rFonts w:ascii="Arial" w:hAnsi="Arial" w:cs="Arial"/>
                <w:color w:val="000000"/>
              </w:rPr>
              <w:t>Primer año</w:t>
            </w:r>
          </w:p>
        </w:tc>
        <w:tc>
          <w:tcPr>
            <w:tcW w:w="2276" w:type="dxa"/>
          </w:tcPr>
          <w:p w:rsidR="003952A2" w:rsidRDefault="003952A2" w:rsidP="003952A2">
            <w:pPr>
              <w:autoSpaceDE w:val="0"/>
              <w:autoSpaceDN w:val="0"/>
              <w:adjustRightInd w:val="0"/>
              <w:jc w:val="center"/>
              <w:rPr>
                <w:rFonts w:ascii="Arial" w:hAnsi="Arial" w:cs="Arial"/>
                <w:color w:val="000000"/>
              </w:rPr>
            </w:pPr>
            <w:r w:rsidRPr="003952A2">
              <w:rPr>
                <w:rFonts w:ascii="Arial" w:hAnsi="Arial" w:cs="Arial"/>
                <w:color w:val="000000"/>
              </w:rPr>
              <w:t>Anual</w:t>
            </w:r>
          </w:p>
        </w:tc>
        <w:tc>
          <w:tcPr>
            <w:tcW w:w="2277" w:type="dxa"/>
          </w:tcPr>
          <w:p w:rsidR="003952A2" w:rsidRDefault="0099601D" w:rsidP="003952A2">
            <w:pPr>
              <w:autoSpaceDE w:val="0"/>
              <w:autoSpaceDN w:val="0"/>
              <w:adjustRightInd w:val="0"/>
              <w:jc w:val="center"/>
              <w:rPr>
                <w:rFonts w:ascii="Arial" w:hAnsi="Arial" w:cs="Arial"/>
                <w:color w:val="000000"/>
              </w:rPr>
            </w:pPr>
            <w:r w:rsidRPr="003952A2">
              <w:rPr>
                <w:rFonts w:ascii="Arial" w:hAnsi="Arial" w:cs="Arial"/>
                <w:color w:val="000000"/>
              </w:rPr>
              <w:t>3 horas</w:t>
            </w:r>
          </w:p>
        </w:tc>
        <w:tc>
          <w:tcPr>
            <w:tcW w:w="2277" w:type="dxa"/>
          </w:tcPr>
          <w:p w:rsidR="0099601D" w:rsidRPr="00877628" w:rsidRDefault="0099601D" w:rsidP="0099601D">
            <w:pPr>
              <w:autoSpaceDE w:val="0"/>
              <w:autoSpaceDN w:val="0"/>
              <w:adjustRightInd w:val="0"/>
              <w:jc w:val="center"/>
              <w:rPr>
                <w:rFonts w:ascii="Arial" w:hAnsi="Arial" w:cs="Arial"/>
                <w:color w:val="000000"/>
              </w:rPr>
            </w:pPr>
            <w:r w:rsidRPr="003952A2">
              <w:rPr>
                <w:rFonts w:ascii="Arial" w:hAnsi="Arial" w:cs="Arial"/>
                <w:color w:val="000000"/>
              </w:rPr>
              <w:t>96 horas</w:t>
            </w:r>
          </w:p>
          <w:p w:rsidR="003952A2" w:rsidRDefault="003952A2" w:rsidP="003952A2">
            <w:pPr>
              <w:autoSpaceDE w:val="0"/>
              <w:autoSpaceDN w:val="0"/>
              <w:adjustRightInd w:val="0"/>
              <w:jc w:val="center"/>
              <w:rPr>
                <w:rFonts w:ascii="Arial" w:hAnsi="Arial" w:cs="Arial"/>
                <w:color w:val="000000"/>
              </w:rPr>
            </w:pPr>
          </w:p>
        </w:tc>
      </w:tr>
    </w:tbl>
    <w:p w:rsidR="003952A2" w:rsidRDefault="003952A2" w:rsidP="003952A2">
      <w:pPr>
        <w:autoSpaceDE w:val="0"/>
        <w:autoSpaceDN w:val="0"/>
        <w:adjustRightInd w:val="0"/>
        <w:spacing w:after="0" w:line="240" w:lineRule="auto"/>
        <w:jc w:val="center"/>
        <w:rPr>
          <w:rFonts w:ascii="Arial" w:hAnsi="Arial" w:cs="Arial"/>
          <w:color w:val="000000"/>
        </w:rPr>
      </w:pPr>
    </w:p>
    <w:p w:rsidR="0094282B" w:rsidRDefault="0094282B" w:rsidP="003952A2">
      <w:pPr>
        <w:autoSpaceDE w:val="0"/>
        <w:autoSpaceDN w:val="0"/>
        <w:adjustRightInd w:val="0"/>
        <w:spacing w:after="0" w:line="240" w:lineRule="auto"/>
        <w:jc w:val="center"/>
        <w:rPr>
          <w:rFonts w:ascii="Arial" w:hAnsi="Arial" w:cs="Arial"/>
          <w:color w:val="000000"/>
        </w:rPr>
      </w:pPr>
    </w:p>
    <w:p w:rsidR="003952A2" w:rsidRPr="00877628" w:rsidRDefault="003952A2" w:rsidP="003952A2">
      <w:pPr>
        <w:autoSpaceDE w:val="0"/>
        <w:autoSpaceDN w:val="0"/>
        <w:adjustRightInd w:val="0"/>
        <w:spacing w:after="0" w:line="240" w:lineRule="auto"/>
        <w:rPr>
          <w:rFonts w:ascii="Arial" w:hAnsi="Arial" w:cs="Arial"/>
          <w:color w:val="000000"/>
        </w:rPr>
      </w:pPr>
    </w:p>
    <w:p w:rsidR="003952A2" w:rsidRDefault="003952A2" w:rsidP="003952A2">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Fundamentos:</w:t>
      </w:r>
    </w:p>
    <w:p w:rsidR="0099601D" w:rsidRDefault="0099601D" w:rsidP="003952A2">
      <w:pPr>
        <w:autoSpaceDE w:val="0"/>
        <w:autoSpaceDN w:val="0"/>
        <w:adjustRightInd w:val="0"/>
        <w:spacing w:after="0" w:line="240" w:lineRule="auto"/>
        <w:rPr>
          <w:rFonts w:ascii="Arial" w:hAnsi="Arial" w:cs="Arial"/>
          <w:b/>
          <w:bCs/>
          <w:color w:val="000000"/>
        </w:rPr>
      </w:pPr>
    </w:p>
    <w:p w:rsidR="0099601D" w:rsidRPr="0099601D" w:rsidRDefault="0099601D" w:rsidP="0070740A">
      <w:pPr>
        <w:autoSpaceDE w:val="0"/>
        <w:autoSpaceDN w:val="0"/>
        <w:adjustRightInd w:val="0"/>
        <w:spacing w:after="0" w:line="240" w:lineRule="auto"/>
        <w:jc w:val="both"/>
        <w:rPr>
          <w:rFonts w:ascii="Arial" w:hAnsi="Arial" w:cs="Arial"/>
          <w:bCs/>
          <w:color w:val="000000"/>
        </w:rPr>
      </w:pPr>
      <w:r w:rsidRPr="0099601D">
        <w:rPr>
          <w:rFonts w:ascii="Arial" w:hAnsi="Arial" w:cs="Arial"/>
          <w:bCs/>
          <w:color w:val="000000"/>
        </w:rPr>
        <w:t>Es una forma de organización curricular fundada en marcos disciplinares o multidisciplinares. Recorre los núcleos temáticos del entorno epistemológico desde las relaciones jerárquicas: se eligen los conceptos más importantes de la materia y alrededor de ellos se organizan los conceptos subsidiarios. Las mismas se caracterizan por brindar conocimientos y, por sobre todo, modos de pensamiento y modelos explicativos de carácter provisional, evitando todo dogmatismo, como se corresponde con el carácter del conocimiento científico y su evolución a través del tiempo. (Resolución del CFE Nº 24/7). Se resuelve en unidades didácticas planteadas según criterios que respetan las exigencias desde el alumno y desde lo social. Su significatividad reside en la articulación lógica interna que garantice el aprendizaje de secuencias de esta naturaleza. Dado que centra la atención pedagógica en la transmisión/apropiación de los contenidos de una disciplina, éstos se organizan según la lógica que a ella le es propia y su aprendizaje supone procesos de apropiación específicos. Por ello, la enseñanza promueve en los estudiantes una visión de los campos de conocimiento implicados y de sus procesos de construcción y legitimación.</w:t>
      </w:r>
    </w:p>
    <w:p w:rsidR="003952A2" w:rsidRDefault="003952A2" w:rsidP="003952A2">
      <w:pPr>
        <w:autoSpaceDE w:val="0"/>
        <w:autoSpaceDN w:val="0"/>
        <w:adjustRightInd w:val="0"/>
        <w:spacing w:after="0" w:line="240" w:lineRule="auto"/>
        <w:rPr>
          <w:rFonts w:ascii="Arial" w:hAnsi="Arial" w:cs="Arial"/>
          <w:bCs/>
          <w:color w:val="000000"/>
        </w:rPr>
      </w:pPr>
    </w:p>
    <w:p w:rsidR="0094282B" w:rsidRDefault="0094282B" w:rsidP="003952A2">
      <w:pPr>
        <w:autoSpaceDE w:val="0"/>
        <w:autoSpaceDN w:val="0"/>
        <w:adjustRightInd w:val="0"/>
        <w:spacing w:after="0" w:line="240" w:lineRule="auto"/>
        <w:rPr>
          <w:rFonts w:ascii="Arial" w:hAnsi="Arial" w:cs="Arial"/>
          <w:bCs/>
          <w:color w:val="000000"/>
        </w:rPr>
      </w:pPr>
    </w:p>
    <w:p w:rsidR="0094282B" w:rsidRPr="003952A2" w:rsidRDefault="0094282B" w:rsidP="003952A2">
      <w:pPr>
        <w:autoSpaceDE w:val="0"/>
        <w:autoSpaceDN w:val="0"/>
        <w:adjustRightInd w:val="0"/>
        <w:spacing w:after="0" w:line="240" w:lineRule="auto"/>
        <w:rPr>
          <w:rFonts w:ascii="Arial" w:hAnsi="Arial" w:cs="Arial"/>
          <w:bCs/>
          <w:color w:val="000000"/>
        </w:rPr>
      </w:pPr>
    </w:p>
    <w:p w:rsidR="003952A2" w:rsidRPr="003952A2" w:rsidRDefault="003952A2" w:rsidP="003952A2">
      <w:pPr>
        <w:autoSpaceDE w:val="0"/>
        <w:autoSpaceDN w:val="0"/>
        <w:adjustRightInd w:val="0"/>
        <w:spacing w:after="0" w:line="240" w:lineRule="auto"/>
        <w:rPr>
          <w:rFonts w:ascii="Arial" w:hAnsi="Arial" w:cs="Arial"/>
          <w:bCs/>
          <w:color w:val="000000"/>
        </w:rPr>
      </w:pPr>
    </w:p>
    <w:p w:rsidR="003952A2" w:rsidRDefault="003952A2" w:rsidP="003952A2">
      <w:pPr>
        <w:autoSpaceDE w:val="0"/>
        <w:autoSpaceDN w:val="0"/>
        <w:adjustRightInd w:val="0"/>
        <w:spacing w:after="0" w:line="240" w:lineRule="auto"/>
        <w:rPr>
          <w:rFonts w:ascii="Arial" w:hAnsi="Arial" w:cs="Arial"/>
          <w:b/>
          <w:bCs/>
          <w:color w:val="000000"/>
        </w:rPr>
      </w:pPr>
      <w:r>
        <w:rPr>
          <w:rFonts w:ascii="Arial" w:hAnsi="Arial" w:cs="Arial"/>
          <w:b/>
          <w:bCs/>
          <w:color w:val="000000"/>
        </w:rPr>
        <w:t>Propósitos de la asignatura Física</w:t>
      </w:r>
      <w:r w:rsidRPr="00877628">
        <w:rPr>
          <w:rFonts w:ascii="Arial" w:hAnsi="Arial" w:cs="Arial"/>
          <w:b/>
          <w:bCs/>
          <w:color w:val="000000"/>
        </w:rPr>
        <w:t>:</w:t>
      </w:r>
    </w:p>
    <w:p w:rsidR="0099601D" w:rsidRDefault="0099601D" w:rsidP="003952A2">
      <w:pPr>
        <w:autoSpaceDE w:val="0"/>
        <w:autoSpaceDN w:val="0"/>
        <w:adjustRightInd w:val="0"/>
        <w:spacing w:after="0" w:line="240" w:lineRule="auto"/>
        <w:rPr>
          <w:rFonts w:ascii="Arial" w:hAnsi="Arial" w:cs="Arial"/>
          <w:b/>
          <w:bCs/>
          <w:color w:val="000000"/>
        </w:rPr>
      </w:pPr>
    </w:p>
    <w:p w:rsidR="003952A2" w:rsidRPr="003952A2" w:rsidRDefault="003952A2" w:rsidP="003952A2">
      <w:pPr>
        <w:autoSpaceDE w:val="0"/>
        <w:autoSpaceDN w:val="0"/>
        <w:adjustRightInd w:val="0"/>
        <w:spacing w:after="0" w:line="240" w:lineRule="auto"/>
        <w:rPr>
          <w:rFonts w:ascii="Arial" w:hAnsi="Arial" w:cs="Arial"/>
          <w:bCs/>
          <w:color w:val="000000"/>
        </w:rPr>
      </w:pPr>
      <w:r w:rsidRPr="003952A2">
        <w:rPr>
          <w:rFonts w:ascii="Arial" w:hAnsi="Arial" w:cs="Arial"/>
          <w:bCs/>
          <w:color w:val="000000"/>
        </w:rPr>
        <w:t>Esta unidad permite adquirir los conocimientos fundamentales del campo de la física aplicables al electromagnetismo, a los fluidos y al calor.</w:t>
      </w:r>
    </w:p>
    <w:p w:rsidR="003952A2" w:rsidRDefault="003952A2" w:rsidP="003952A2">
      <w:pPr>
        <w:autoSpaceDE w:val="0"/>
        <w:autoSpaceDN w:val="0"/>
        <w:adjustRightInd w:val="0"/>
        <w:spacing w:after="0" w:line="240" w:lineRule="auto"/>
        <w:rPr>
          <w:rFonts w:ascii="Arial" w:hAnsi="Arial" w:cs="Arial"/>
          <w:b/>
          <w:bCs/>
          <w:color w:val="000000"/>
        </w:rPr>
      </w:pPr>
    </w:p>
    <w:p w:rsidR="0094282B" w:rsidRDefault="0094282B" w:rsidP="003952A2">
      <w:pPr>
        <w:autoSpaceDE w:val="0"/>
        <w:autoSpaceDN w:val="0"/>
        <w:adjustRightInd w:val="0"/>
        <w:spacing w:after="0" w:line="240" w:lineRule="auto"/>
        <w:rPr>
          <w:rFonts w:ascii="Arial" w:hAnsi="Arial" w:cs="Arial"/>
          <w:b/>
          <w:bCs/>
          <w:color w:val="000000"/>
        </w:rPr>
      </w:pPr>
    </w:p>
    <w:p w:rsidR="0094282B" w:rsidRDefault="0094282B" w:rsidP="003952A2">
      <w:pPr>
        <w:autoSpaceDE w:val="0"/>
        <w:autoSpaceDN w:val="0"/>
        <w:adjustRightInd w:val="0"/>
        <w:spacing w:after="0" w:line="240" w:lineRule="auto"/>
        <w:rPr>
          <w:rFonts w:ascii="Arial" w:hAnsi="Arial" w:cs="Arial"/>
          <w:b/>
          <w:bCs/>
          <w:color w:val="000000"/>
        </w:rPr>
      </w:pPr>
    </w:p>
    <w:p w:rsidR="0094282B" w:rsidRDefault="0094282B" w:rsidP="003952A2">
      <w:pPr>
        <w:autoSpaceDE w:val="0"/>
        <w:autoSpaceDN w:val="0"/>
        <w:adjustRightInd w:val="0"/>
        <w:spacing w:after="0" w:line="240" w:lineRule="auto"/>
        <w:rPr>
          <w:rFonts w:ascii="Arial" w:hAnsi="Arial" w:cs="Arial"/>
          <w:b/>
          <w:bCs/>
          <w:color w:val="000000"/>
        </w:rPr>
      </w:pPr>
    </w:p>
    <w:p w:rsidR="0094282B" w:rsidRDefault="0094282B" w:rsidP="003952A2">
      <w:pPr>
        <w:autoSpaceDE w:val="0"/>
        <w:autoSpaceDN w:val="0"/>
        <w:adjustRightInd w:val="0"/>
        <w:spacing w:after="0" w:line="240" w:lineRule="auto"/>
        <w:rPr>
          <w:rFonts w:ascii="Arial" w:hAnsi="Arial" w:cs="Arial"/>
          <w:b/>
          <w:bCs/>
          <w:color w:val="000000"/>
        </w:rPr>
      </w:pPr>
    </w:p>
    <w:p w:rsidR="0094282B" w:rsidRDefault="0094282B" w:rsidP="003952A2">
      <w:pPr>
        <w:autoSpaceDE w:val="0"/>
        <w:autoSpaceDN w:val="0"/>
        <w:adjustRightInd w:val="0"/>
        <w:spacing w:after="0" w:line="240" w:lineRule="auto"/>
        <w:rPr>
          <w:rFonts w:ascii="Arial" w:hAnsi="Arial" w:cs="Arial"/>
          <w:b/>
          <w:bCs/>
          <w:color w:val="000000"/>
        </w:rPr>
      </w:pPr>
    </w:p>
    <w:p w:rsidR="0094282B" w:rsidRPr="00877628" w:rsidRDefault="0094282B" w:rsidP="003952A2">
      <w:pPr>
        <w:autoSpaceDE w:val="0"/>
        <w:autoSpaceDN w:val="0"/>
        <w:adjustRightInd w:val="0"/>
        <w:spacing w:after="0" w:line="240" w:lineRule="auto"/>
        <w:rPr>
          <w:rFonts w:ascii="Arial" w:hAnsi="Arial" w:cs="Arial"/>
          <w:b/>
          <w:bCs/>
          <w:color w:val="000000"/>
        </w:rPr>
      </w:pPr>
    </w:p>
    <w:p w:rsidR="003952A2" w:rsidRDefault="003952A2" w:rsidP="003952A2">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Contenidos:</w:t>
      </w:r>
    </w:p>
    <w:p w:rsidR="003952A2" w:rsidRDefault="003952A2" w:rsidP="0070740A">
      <w:pPr>
        <w:autoSpaceDE w:val="0"/>
        <w:autoSpaceDN w:val="0"/>
        <w:adjustRightInd w:val="0"/>
        <w:spacing w:after="0" w:line="240" w:lineRule="auto"/>
        <w:jc w:val="both"/>
        <w:rPr>
          <w:rFonts w:ascii="Arial" w:hAnsi="Arial" w:cs="Arial"/>
          <w:bCs/>
          <w:color w:val="000000"/>
        </w:rPr>
      </w:pPr>
      <w:r w:rsidRPr="003952A2">
        <w:rPr>
          <w:rFonts w:ascii="Arial" w:hAnsi="Arial" w:cs="Arial"/>
          <w:bCs/>
          <w:color w:val="000000"/>
        </w:rPr>
        <w:t>Sistema internacional de unidades. Vectores. Movimiento en una dimensión: cinemática de una partícula. Velocidad promedio, instantánea, movimiento en una dimensión con velocidad variable, movimiento en una dimensión con aceleración variable, movimiento en una dimensión con aceleración constante, caída libre. Movimiento en el plano: movimiento circular uniforme, aceleración en el movimiento circular uniforme. Dinámica: primera ley de Newton, fuerza, masa y segunda ley de Newton, tercera ley de Newton, leyes de las fuerzas, el peso y la masa, aplicaciones de las leyes de Newton del movimiento, fuerzas de rozamiento, la dinámica del movimiento circular uniforme, inercia. Trabajo y energía. Potencia. Conservación de la energía. Conservación del movimiento, Choque. Cinemática y dinámica rotacional. El equilibrio de los cuerpos. Oscilaciones. Ondas. Carga. Campo eléctrico. Corriente y resistencia. FEM y circuitos. Campo magnético. Ley de Ampere. Ley de Faraday. Inductancia. Corrientes alternas. Propiedades físicas de los fluidos: Densidad. Coeficiente de compresibilidad. Viscosidad. Presión de vapor. Tensión superficial, Capilaridad, Cavitación. Estática de fluidos. Leyes fundamentales de la mecánica de fluidos. Ecuaciones de movimiento: Flujos irrotacionales incompresibles  (flujo potencial), flujo viscoso. Similitud y análisis dimensional. Ecuación de Navier Stokes. Flujos externos. Flujos en conducciones. Bombeo y turbinado. Calor y trabajo. Primer principio de la termodinámica. Gases ideales y reales. Transformaciones. Segundo principio de la termodinámica. Teorema de Carnot. Teorema de Clausius. Entropía. Exergía. Transferencia de calor. Regla de las fases. Vapores. Ciclos de máquinas térmicas de vapor. Ciclos frigoríficos. Desarrollo de las Máquinas Térmicas. Clasificación. Usos. Ciclos. Ciclos ideales y límites.  Combustibles.   Ciclos de vapor.  Generadores de vapor.  Turbomáquinas. Turbinas de vapor.  Compresores. Turbinas de gas. Ciclos Combinados.</w:t>
      </w:r>
    </w:p>
    <w:p w:rsidR="0099601D" w:rsidRDefault="0099601D" w:rsidP="003952A2">
      <w:pPr>
        <w:autoSpaceDE w:val="0"/>
        <w:autoSpaceDN w:val="0"/>
        <w:adjustRightInd w:val="0"/>
        <w:spacing w:after="0" w:line="240" w:lineRule="auto"/>
        <w:rPr>
          <w:rFonts w:ascii="Arial" w:hAnsi="Arial" w:cs="Arial"/>
          <w:bCs/>
          <w:color w:val="000000"/>
        </w:rPr>
      </w:pPr>
    </w:p>
    <w:p w:rsidR="0099601D" w:rsidRPr="003952A2" w:rsidRDefault="0099601D" w:rsidP="003952A2">
      <w:pPr>
        <w:autoSpaceDE w:val="0"/>
        <w:autoSpaceDN w:val="0"/>
        <w:adjustRightInd w:val="0"/>
        <w:spacing w:after="0" w:line="240" w:lineRule="auto"/>
        <w:rPr>
          <w:rFonts w:ascii="Arial" w:hAnsi="Arial" w:cs="Arial"/>
          <w:bCs/>
          <w:color w:val="000000"/>
        </w:rPr>
      </w:pPr>
    </w:p>
    <w:p w:rsidR="003952A2" w:rsidRDefault="003952A2" w:rsidP="003952A2">
      <w:pPr>
        <w:rPr>
          <w:rFonts w:ascii="Arial" w:hAnsi="Arial" w:cs="Arial"/>
          <w:color w:val="000000"/>
        </w:rPr>
      </w:pPr>
      <w:r w:rsidRPr="0052699A">
        <w:rPr>
          <w:rFonts w:ascii="Arial" w:hAnsi="Arial" w:cs="Arial"/>
          <w:b/>
          <w:color w:val="000000"/>
        </w:rPr>
        <w:t>ORGANIZACIÓN DEL ESPACIO CURRICULAR</w:t>
      </w:r>
      <w:r>
        <w:rPr>
          <w:rFonts w:ascii="Arial" w:hAnsi="Arial" w:cs="Arial"/>
          <w:color w:val="000000"/>
        </w:rPr>
        <w:t>:</w:t>
      </w:r>
    </w:p>
    <w:p w:rsidR="003952A2" w:rsidRDefault="003952A2" w:rsidP="003952A2">
      <w:pPr>
        <w:rPr>
          <w:rFonts w:ascii="Arial" w:hAnsi="Arial" w:cs="Arial"/>
          <w:color w:val="000000"/>
        </w:rPr>
      </w:pPr>
      <w:r>
        <w:rPr>
          <w:rFonts w:ascii="Arial" w:hAnsi="Arial" w:cs="Arial"/>
          <w:color w:val="000000"/>
        </w:rPr>
        <w:t>Primer Cuatrimestre</w:t>
      </w:r>
    </w:p>
    <w:tbl>
      <w:tblPr>
        <w:tblStyle w:val="Tablaconcuadrcula"/>
        <w:tblW w:w="0" w:type="auto"/>
        <w:tblLook w:val="04A0"/>
      </w:tblPr>
      <w:tblGrid>
        <w:gridCol w:w="4414"/>
        <w:gridCol w:w="4414"/>
      </w:tblGrid>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Actividades</w:t>
            </w:r>
          </w:p>
        </w:tc>
        <w:tc>
          <w:tcPr>
            <w:tcW w:w="4414" w:type="dxa"/>
          </w:tcPr>
          <w:p w:rsidR="003952A2" w:rsidRDefault="003952A2" w:rsidP="00564B9B">
            <w:pPr>
              <w:rPr>
                <w:rFonts w:ascii="Arial" w:hAnsi="Arial" w:cs="Arial"/>
                <w:color w:val="000000"/>
              </w:rPr>
            </w:pPr>
            <w:r>
              <w:rPr>
                <w:rFonts w:ascii="Arial" w:hAnsi="Arial" w:cs="Arial"/>
                <w:color w:val="000000"/>
              </w:rPr>
              <w:t xml:space="preserve"> Tiempos</w:t>
            </w:r>
          </w:p>
        </w:tc>
      </w:tr>
      <w:tr w:rsidR="003952A2" w:rsidTr="00564B9B">
        <w:tc>
          <w:tcPr>
            <w:tcW w:w="4414" w:type="dxa"/>
          </w:tcPr>
          <w:p w:rsidR="003952A2" w:rsidRDefault="0070740A" w:rsidP="00564B9B">
            <w:pPr>
              <w:rPr>
                <w:rFonts w:ascii="Arial" w:hAnsi="Arial" w:cs="Arial"/>
                <w:color w:val="000000"/>
              </w:rPr>
            </w:pPr>
            <w:r>
              <w:rPr>
                <w:rFonts w:ascii="Arial" w:hAnsi="Arial" w:cs="Arial"/>
                <w:color w:val="000000"/>
              </w:rPr>
              <w:t xml:space="preserve">Lectura, </w:t>
            </w:r>
            <w:r w:rsidR="003952A2">
              <w:rPr>
                <w:rFonts w:ascii="Arial" w:hAnsi="Arial" w:cs="Arial"/>
                <w:color w:val="000000"/>
              </w:rPr>
              <w:t xml:space="preserve">reflexión </w:t>
            </w:r>
            <w:r>
              <w:rPr>
                <w:rFonts w:ascii="Arial" w:hAnsi="Arial" w:cs="Arial"/>
                <w:color w:val="000000"/>
              </w:rPr>
              <w:t xml:space="preserve"> y práctica de la b</w:t>
            </w:r>
            <w:r w:rsidR="003952A2">
              <w:rPr>
                <w:rFonts w:ascii="Arial" w:hAnsi="Arial" w:cs="Arial"/>
                <w:color w:val="000000"/>
              </w:rPr>
              <w:t>ibliografía Propuesta</w:t>
            </w:r>
          </w:p>
        </w:tc>
        <w:tc>
          <w:tcPr>
            <w:tcW w:w="4414" w:type="dxa"/>
          </w:tcPr>
          <w:p w:rsidR="003952A2" w:rsidRDefault="003952A2" w:rsidP="00564B9B">
            <w:pPr>
              <w:rPr>
                <w:rFonts w:ascii="Arial" w:hAnsi="Arial" w:cs="Arial"/>
                <w:color w:val="000000"/>
              </w:rPr>
            </w:pPr>
            <w:r>
              <w:rPr>
                <w:rFonts w:ascii="Arial" w:hAnsi="Arial" w:cs="Arial"/>
                <w:color w:val="000000"/>
              </w:rPr>
              <w:t>Abril y Mayo</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Trabajo Práctico I y II</w:t>
            </w:r>
          </w:p>
        </w:tc>
        <w:tc>
          <w:tcPr>
            <w:tcW w:w="4414" w:type="dxa"/>
          </w:tcPr>
          <w:p w:rsidR="003952A2" w:rsidRDefault="003952A2" w:rsidP="00564B9B">
            <w:pPr>
              <w:rPr>
                <w:rFonts w:ascii="Arial" w:hAnsi="Arial" w:cs="Arial"/>
                <w:color w:val="000000"/>
              </w:rPr>
            </w:pPr>
            <w:r>
              <w:rPr>
                <w:rFonts w:ascii="Arial" w:hAnsi="Arial" w:cs="Arial"/>
                <w:color w:val="000000"/>
              </w:rPr>
              <w:t>Junio</w:t>
            </w:r>
          </w:p>
        </w:tc>
      </w:tr>
      <w:tr w:rsidR="003952A2" w:rsidTr="00564B9B">
        <w:tc>
          <w:tcPr>
            <w:tcW w:w="4414" w:type="dxa"/>
          </w:tcPr>
          <w:p w:rsidR="003952A2" w:rsidRDefault="0070740A" w:rsidP="00564B9B">
            <w:pPr>
              <w:rPr>
                <w:rFonts w:ascii="Arial" w:hAnsi="Arial" w:cs="Arial"/>
                <w:color w:val="000000"/>
              </w:rPr>
            </w:pPr>
            <w:r>
              <w:rPr>
                <w:rFonts w:ascii="Arial" w:hAnsi="Arial" w:cs="Arial"/>
                <w:color w:val="000000"/>
              </w:rPr>
              <w:t>Lectura,</w:t>
            </w:r>
            <w:r w:rsidR="003952A2">
              <w:rPr>
                <w:rFonts w:ascii="Arial" w:hAnsi="Arial" w:cs="Arial"/>
                <w:color w:val="000000"/>
              </w:rPr>
              <w:t xml:space="preserve"> reflexión </w:t>
            </w:r>
            <w:r>
              <w:rPr>
                <w:rFonts w:ascii="Arial" w:hAnsi="Arial" w:cs="Arial"/>
                <w:color w:val="000000"/>
              </w:rPr>
              <w:t>y práctica  de la b</w:t>
            </w:r>
            <w:r w:rsidR="003952A2">
              <w:rPr>
                <w:rFonts w:ascii="Arial" w:hAnsi="Arial" w:cs="Arial"/>
                <w:color w:val="000000"/>
              </w:rPr>
              <w:t>ibliografía Propuesta</w:t>
            </w:r>
          </w:p>
        </w:tc>
        <w:tc>
          <w:tcPr>
            <w:tcW w:w="4414" w:type="dxa"/>
          </w:tcPr>
          <w:p w:rsidR="003952A2" w:rsidRDefault="003952A2" w:rsidP="00564B9B">
            <w:pPr>
              <w:rPr>
                <w:rFonts w:ascii="Arial" w:hAnsi="Arial" w:cs="Arial"/>
                <w:color w:val="000000"/>
              </w:rPr>
            </w:pPr>
            <w:r>
              <w:rPr>
                <w:rFonts w:ascii="Arial" w:hAnsi="Arial" w:cs="Arial"/>
                <w:color w:val="000000"/>
              </w:rPr>
              <w:t>Primera Semana de Julio</w:t>
            </w:r>
          </w:p>
        </w:tc>
      </w:tr>
    </w:tbl>
    <w:p w:rsidR="003952A2" w:rsidRPr="00877628" w:rsidRDefault="003952A2" w:rsidP="003952A2">
      <w:pPr>
        <w:rPr>
          <w:rFonts w:ascii="Arial" w:hAnsi="Arial" w:cs="Arial"/>
          <w:color w:val="000000"/>
        </w:rPr>
      </w:pPr>
    </w:p>
    <w:p w:rsidR="003952A2" w:rsidRDefault="003952A2" w:rsidP="003952A2">
      <w:pPr>
        <w:rPr>
          <w:rFonts w:ascii="Arial" w:hAnsi="Arial" w:cs="Arial"/>
          <w:color w:val="000000"/>
        </w:rPr>
      </w:pPr>
      <w:r>
        <w:rPr>
          <w:rFonts w:ascii="Arial" w:hAnsi="Arial" w:cs="Arial"/>
          <w:color w:val="000000"/>
        </w:rPr>
        <w:t>Segundo Cuatrimestre:</w:t>
      </w:r>
    </w:p>
    <w:tbl>
      <w:tblPr>
        <w:tblStyle w:val="Tablaconcuadrcula"/>
        <w:tblW w:w="0" w:type="auto"/>
        <w:tblLook w:val="04A0"/>
      </w:tblPr>
      <w:tblGrid>
        <w:gridCol w:w="4414"/>
        <w:gridCol w:w="4414"/>
      </w:tblGrid>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Actividades</w:t>
            </w:r>
          </w:p>
        </w:tc>
        <w:tc>
          <w:tcPr>
            <w:tcW w:w="4414" w:type="dxa"/>
          </w:tcPr>
          <w:p w:rsidR="003952A2" w:rsidRDefault="003952A2" w:rsidP="00564B9B">
            <w:pPr>
              <w:rPr>
                <w:rFonts w:ascii="Arial" w:hAnsi="Arial" w:cs="Arial"/>
                <w:color w:val="000000"/>
              </w:rPr>
            </w:pPr>
            <w:r>
              <w:rPr>
                <w:rFonts w:ascii="Arial" w:hAnsi="Arial" w:cs="Arial"/>
                <w:color w:val="000000"/>
              </w:rPr>
              <w:t xml:space="preserve"> Tiempos</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Parcial</w:t>
            </w:r>
          </w:p>
        </w:tc>
        <w:tc>
          <w:tcPr>
            <w:tcW w:w="4414" w:type="dxa"/>
          </w:tcPr>
          <w:p w:rsidR="003952A2" w:rsidRDefault="003952A2" w:rsidP="00564B9B">
            <w:pPr>
              <w:rPr>
                <w:rFonts w:ascii="Arial" w:hAnsi="Arial" w:cs="Arial"/>
                <w:color w:val="000000"/>
              </w:rPr>
            </w:pPr>
            <w:r>
              <w:rPr>
                <w:rFonts w:ascii="Arial" w:hAnsi="Arial" w:cs="Arial"/>
                <w:color w:val="000000"/>
              </w:rPr>
              <w:t>Segunda semana de Agosto</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Primer  y segundo recuperatorio</w:t>
            </w:r>
          </w:p>
        </w:tc>
        <w:tc>
          <w:tcPr>
            <w:tcW w:w="4414" w:type="dxa"/>
          </w:tcPr>
          <w:p w:rsidR="003952A2" w:rsidRDefault="003952A2" w:rsidP="00564B9B">
            <w:pPr>
              <w:rPr>
                <w:rFonts w:ascii="Arial" w:hAnsi="Arial" w:cs="Arial"/>
                <w:color w:val="000000"/>
              </w:rPr>
            </w:pPr>
            <w:r>
              <w:rPr>
                <w:rFonts w:ascii="Arial" w:hAnsi="Arial" w:cs="Arial"/>
                <w:color w:val="000000"/>
              </w:rPr>
              <w:t>Primera semana de setiembre</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Trabajo Práctico III y IV</w:t>
            </w:r>
          </w:p>
        </w:tc>
        <w:tc>
          <w:tcPr>
            <w:tcW w:w="4414" w:type="dxa"/>
          </w:tcPr>
          <w:p w:rsidR="003952A2" w:rsidRDefault="003952A2" w:rsidP="00564B9B">
            <w:pPr>
              <w:rPr>
                <w:rFonts w:ascii="Arial" w:hAnsi="Arial" w:cs="Arial"/>
                <w:color w:val="000000"/>
              </w:rPr>
            </w:pPr>
            <w:r>
              <w:rPr>
                <w:rFonts w:ascii="Arial" w:hAnsi="Arial" w:cs="Arial"/>
                <w:color w:val="000000"/>
              </w:rPr>
              <w:t>Setiembre-Octubre</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Presentación de Recursos didácticos</w:t>
            </w:r>
          </w:p>
        </w:tc>
        <w:tc>
          <w:tcPr>
            <w:tcW w:w="4414" w:type="dxa"/>
          </w:tcPr>
          <w:p w:rsidR="003952A2" w:rsidRDefault="003952A2" w:rsidP="00564B9B">
            <w:pPr>
              <w:rPr>
                <w:rFonts w:ascii="Arial" w:hAnsi="Arial" w:cs="Arial"/>
                <w:color w:val="000000"/>
              </w:rPr>
            </w:pPr>
            <w:r>
              <w:rPr>
                <w:rFonts w:ascii="Arial" w:hAnsi="Arial" w:cs="Arial"/>
                <w:color w:val="000000"/>
              </w:rPr>
              <w:t>Última semana de Octubre</w:t>
            </w:r>
          </w:p>
        </w:tc>
      </w:tr>
      <w:tr w:rsidR="003952A2" w:rsidTr="00564B9B">
        <w:tc>
          <w:tcPr>
            <w:tcW w:w="4414" w:type="dxa"/>
          </w:tcPr>
          <w:p w:rsidR="003952A2" w:rsidRDefault="003952A2" w:rsidP="00564B9B">
            <w:pPr>
              <w:rPr>
                <w:rFonts w:ascii="Arial" w:hAnsi="Arial" w:cs="Arial"/>
                <w:color w:val="000000"/>
              </w:rPr>
            </w:pPr>
            <w:r>
              <w:rPr>
                <w:rFonts w:ascii="Arial" w:hAnsi="Arial" w:cs="Arial"/>
                <w:color w:val="000000"/>
              </w:rPr>
              <w:t>Presentación Proyecto integrador (final y defensa grupal)</w:t>
            </w:r>
          </w:p>
        </w:tc>
        <w:tc>
          <w:tcPr>
            <w:tcW w:w="4414" w:type="dxa"/>
          </w:tcPr>
          <w:p w:rsidR="003952A2" w:rsidRDefault="003952A2" w:rsidP="00564B9B">
            <w:pPr>
              <w:rPr>
                <w:rFonts w:ascii="Arial" w:hAnsi="Arial" w:cs="Arial"/>
                <w:color w:val="000000"/>
              </w:rPr>
            </w:pPr>
            <w:r>
              <w:rPr>
                <w:rFonts w:ascii="Arial" w:hAnsi="Arial" w:cs="Arial"/>
                <w:color w:val="000000"/>
              </w:rPr>
              <w:t>Primera Semana de Noviembre</w:t>
            </w:r>
          </w:p>
        </w:tc>
      </w:tr>
    </w:tbl>
    <w:p w:rsidR="003952A2" w:rsidRDefault="003952A2" w:rsidP="003952A2">
      <w:pPr>
        <w:spacing w:line="360" w:lineRule="auto"/>
        <w:rPr>
          <w:rFonts w:ascii="Arial" w:hAnsi="Arial" w:cs="Arial"/>
          <w:color w:val="000000"/>
        </w:rPr>
      </w:pPr>
    </w:p>
    <w:p w:rsidR="003952A2" w:rsidRDefault="0070740A" w:rsidP="003952A2">
      <w:pPr>
        <w:spacing w:after="0" w:line="240" w:lineRule="auto"/>
        <w:rPr>
          <w:rFonts w:ascii="Arial" w:hAnsi="Arial" w:cs="Arial"/>
          <w:b/>
          <w:sz w:val="20"/>
          <w:szCs w:val="20"/>
        </w:rPr>
      </w:pPr>
      <w:r>
        <w:rPr>
          <w:rFonts w:ascii="Arial" w:hAnsi="Arial" w:cs="Arial"/>
          <w:b/>
          <w:color w:val="000000"/>
          <w:u w:val="single"/>
        </w:rPr>
        <w:t>C</w:t>
      </w:r>
      <w:r w:rsidR="003952A2" w:rsidRPr="0052699A">
        <w:rPr>
          <w:rFonts w:ascii="Arial" w:hAnsi="Arial" w:cs="Arial"/>
          <w:b/>
          <w:sz w:val="20"/>
          <w:szCs w:val="20"/>
          <w:u w:val="single"/>
        </w:rPr>
        <w:t>RITERIOS DE EVALUACIÓN</w:t>
      </w:r>
      <w:r w:rsidR="003952A2" w:rsidRPr="00F426A2">
        <w:rPr>
          <w:rFonts w:ascii="Arial" w:hAnsi="Arial" w:cs="Arial"/>
          <w:b/>
          <w:sz w:val="20"/>
          <w:szCs w:val="20"/>
        </w:rPr>
        <w:t>:</w:t>
      </w:r>
    </w:p>
    <w:p w:rsidR="003952A2" w:rsidRPr="00F426A2" w:rsidRDefault="003952A2" w:rsidP="003952A2">
      <w:pPr>
        <w:spacing w:after="0" w:line="240" w:lineRule="auto"/>
        <w:rPr>
          <w:rFonts w:ascii="Arial" w:hAnsi="Arial" w:cs="Arial"/>
          <w:b/>
          <w:sz w:val="20"/>
          <w:szCs w:val="20"/>
        </w:rPr>
      </w:pP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Argumentación oral y escrita acorde a nivel superior</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Expresión orales y escritas en relación a temáticas, contenidos abordados y bibliografía presentada.</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Claridad argumentativa y pertinencia conceptual y procedimental.</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Disposición a la tarea.</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Nivel de compromiso asumido.</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Actitud crítica y reflexiva frente a las tareas solicitadas.</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Apertura y modificación de actitudes, hipótesis y posiciones teóricas frente a las evidencias presentadas.</w:t>
      </w:r>
    </w:p>
    <w:p w:rsidR="003952A2" w:rsidRPr="00F426A2" w:rsidRDefault="003952A2" w:rsidP="003952A2">
      <w:pPr>
        <w:pStyle w:val="Prrafodelista"/>
        <w:numPr>
          <w:ilvl w:val="1"/>
          <w:numId w:val="1"/>
        </w:numPr>
        <w:spacing w:after="0" w:line="240" w:lineRule="auto"/>
        <w:jc w:val="both"/>
        <w:rPr>
          <w:rFonts w:ascii="Arial" w:hAnsi="Arial" w:cs="Arial"/>
        </w:rPr>
      </w:pPr>
      <w:r w:rsidRPr="00F426A2">
        <w:rPr>
          <w:rFonts w:ascii="Arial" w:hAnsi="Arial" w:cs="Arial"/>
        </w:rPr>
        <w:t>Capacidad de análisis, interpretación y evaluación de las acciones- tareas solicitadas.</w:t>
      </w:r>
    </w:p>
    <w:p w:rsidR="003952A2" w:rsidRPr="00F426A2" w:rsidRDefault="003952A2" w:rsidP="003952A2">
      <w:pPr>
        <w:pStyle w:val="Prrafodelista"/>
        <w:spacing w:after="0" w:line="240" w:lineRule="auto"/>
        <w:ind w:left="1440"/>
        <w:rPr>
          <w:rFonts w:ascii="Arial" w:hAnsi="Arial" w:cs="Arial"/>
          <w:sz w:val="20"/>
          <w:szCs w:val="20"/>
        </w:rPr>
      </w:pPr>
    </w:p>
    <w:p w:rsidR="003952A2" w:rsidRDefault="003952A2" w:rsidP="003952A2">
      <w:pPr>
        <w:spacing w:after="0" w:line="240" w:lineRule="auto"/>
        <w:rPr>
          <w:rFonts w:ascii="Arial" w:hAnsi="Arial" w:cs="Arial"/>
          <w:b/>
          <w:bCs/>
          <w:color w:val="000000"/>
          <w:u w:val="single"/>
        </w:rPr>
      </w:pPr>
      <w:bookmarkStart w:id="0" w:name="_GoBack"/>
      <w:bookmarkEnd w:id="0"/>
    </w:p>
    <w:p w:rsidR="003952A2" w:rsidRDefault="003952A2" w:rsidP="003952A2">
      <w:pPr>
        <w:spacing w:after="0" w:line="240" w:lineRule="auto"/>
        <w:rPr>
          <w:rFonts w:ascii="Arial" w:hAnsi="Arial" w:cs="Arial"/>
          <w:b/>
          <w:bCs/>
          <w:color w:val="000000"/>
          <w:u w:val="single"/>
        </w:rPr>
      </w:pPr>
      <w:r w:rsidRPr="00877628">
        <w:rPr>
          <w:rFonts w:ascii="Arial" w:hAnsi="Arial" w:cs="Arial"/>
          <w:b/>
          <w:bCs/>
          <w:color w:val="000000"/>
          <w:u w:val="single"/>
        </w:rPr>
        <w:t>BIBLIOGRAFÍA OBLIGATORIA DE LA MATERIA</w:t>
      </w:r>
    </w:p>
    <w:p w:rsidR="0070740A" w:rsidRDefault="0070740A" w:rsidP="003952A2">
      <w:pPr>
        <w:spacing w:after="0" w:line="240" w:lineRule="auto"/>
        <w:rPr>
          <w:rFonts w:ascii="Arial" w:hAnsi="Arial" w:cs="Arial"/>
          <w:b/>
          <w:bCs/>
          <w:color w:val="000000"/>
          <w:u w:val="single"/>
        </w:rPr>
      </w:pPr>
    </w:p>
    <w:p w:rsidR="0070740A" w:rsidRPr="004E2FD3" w:rsidRDefault="004E2FD3"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Calderón, Silvia (2006): Física Activa, Ed. Puerto de Palos, Boulong, Argentina.</w:t>
      </w:r>
    </w:p>
    <w:p w:rsidR="004E2FD3" w:rsidRPr="004E2FD3" w:rsidRDefault="004E2FD3"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Maiztegui, Alberto P., Sabato, Jorge (2005): Física 1, Ed. Kapeluz, Buenos Aires, Argentina.</w:t>
      </w:r>
    </w:p>
    <w:p w:rsidR="004E2FD3" w:rsidRPr="004E2FD3" w:rsidRDefault="004E2FD3"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Maiztegui, Alberto P., Sabato, Jorge (2005): Física 2, Ed. Kapeluz, Buenos Aires, Argentina.</w:t>
      </w:r>
    </w:p>
    <w:p w:rsidR="004E2FD3" w:rsidRPr="004E2FD3" w:rsidRDefault="004E2FD3"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Gonzáles, Nélida, Iuliani, Lucía, Muñoz, Juan Carlos (2006): Fís Física, Ed. Tinta Fresca, Buenos Aires, Aregentina.</w:t>
      </w:r>
    </w:p>
    <w:p w:rsidR="004E2FD3" w:rsidRPr="00BF1DFA" w:rsidRDefault="00BF1DFA"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Tipler, Paul A. (1995): Física Tercera Edición, Ed. Reverté, Barcelona, España.</w:t>
      </w:r>
    </w:p>
    <w:p w:rsidR="00BF1DFA" w:rsidRPr="004E2FD3" w:rsidRDefault="00BF1DFA" w:rsidP="004E2FD3">
      <w:pPr>
        <w:pStyle w:val="Prrafodelista"/>
        <w:numPr>
          <w:ilvl w:val="0"/>
          <w:numId w:val="2"/>
        </w:numPr>
        <w:spacing w:after="0" w:line="240" w:lineRule="auto"/>
        <w:rPr>
          <w:rFonts w:ascii="Arial" w:hAnsi="Arial" w:cs="Arial"/>
          <w:b/>
          <w:bCs/>
          <w:color w:val="000000"/>
          <w:u w:val="single"/>
        </w:rPr>
      </w:pPr>
      <w:r>
        <w:rPr>
          <w:rFonts w:ascii="Arial" w:hAnsi="Arial" w:cs="Arial"/>
          <w:bCs/>
          <w:color w:val="000000"/>
        </w:rPr>
        <w:t xml:space="preserve">Sears, Francis W; Zemanzki; Mark, Young, Hugh; Freedman, Roger (2000): Física Universitaria Volumen 1, Ed. </w:t>
      </w:r>
      <w:r w:rsidR="0094282B">
        <w:rPr>
          <w:rFonts w:ascii="Arial" w:hAnsi="Arial" w:cs="Arial"/>
          <w:bCs/>
          <w:color w:val="000000"/>
        </w:rPr>
        <w:t>Addison Wesley Longman, México.</w:t>
      </w:r>
    </w:p>
    <w:p w:rsidR="0070740A" w:rsidRDefault="0070740A" w:rsidP="003952A2">
      <w:pPr>
        <w:spacing w:after="0" w:line="240" w:lineRule="auto"/>
        <w:rPr>
          <w:rFonts w:ascii="Arial" w:hAnsi="Arial" w:cs="Arial"/>
          <w:b/>
          <w:bCs/>
          <w:color w:val="000000"/>
          <w:u w:val="single"/>
        </w:rPr>
      </w:pPr>
    </w:p>
    <w:p w:rsidR="00000000" w:rsidRDefault="0094282B"/>
    <w:sectPr w:rsidR="00000000" w:rsidSect="0094282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8FF"/>
    <w:multiLevelType w:val="hybridMultilevel"/>
    <w:tmpl w:val="0FD23E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3952A2"/>
    <w:rsid w:val="003952A2"/>
    <w:rsid w:val="004E2FD3"/>
    <w:rsid w:val="0070740A"/>
    <w:rsid w:val="0094282B"/>
    <w:rsid w:val="0099601D"/>
    <w:rsid w:val="00BF1D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52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52A2"/>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2017-05-09T20:17:00Z</dcterms:created>
  <dcterms:modified xsi:type="dcterms:W3CDTF">2017-05-09T21:29:00Z</dcterms:modified>
</cp:coreProperties>
</file>