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9C" w:rsidRDefault="00C6549C" w:rsidP="00C6549C">
      <w:pPr>
        <w:spacing w:after="200" w:line="360" w:lineRule="auto"/>
        <w:jc w:val="both"/>
        <w:rPr>
          <w:rFonts w:ascii="Calibri" w:eastAsia="Calibri" w:hAnsi="Calibri" w:cs="Times New Roman"/>
          <w:b/>
          <w:u w:val="single"/>
        </w:rPr>
      </w:pPr>
    </w:p>
    <w:p w:rsidR="00C6549C" w:rsidRPr="00C6549C" w:rsidRDefault="00C6549C" w:rsidP="00C6549C">
      <w:pPr>
        <w:spacing w:after="200" w:line="360" w:lineRule="auto"/>
        <w:jc w:val="both"/>
        <w:rPr>
          <w:rFonts w:ascii="Calibri" w:eastAsia="Calibri" w:hAnsi="Calibri" w:cs="Times New Roman"/>
          <w:b/>
          <w:u w:val="single"/>
        </w:rPr>
      </w:pPr>
      <w:r w:rsidRPr="00C6549C"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043C1151" wp14:editId="0F70FC30">
            <wp:extent cx="2137410" cy="2137410"/>
            <wp:effectExtent l="0" t="0" r="0" b="0"/>
            <wp:docPr id="1" name="Imagen 1" descr="C:\Users\usuario\Documents\ies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ies 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549C" w:rsidRPr="00C6549C" w:rsidRDefault="00C6549C" w:rsidP="00C6549C">
      <w:pPr>
        <w:spacing w:after="200" w:line="360" w:lineRule="auto"/>
        <w:jc w:val="both"/>
        <w:rPr>
          <w:rFonts w:ascii="Calibri" w:eastAsia="Calibri" w:hAnsi="Calibri" w:cs="Times New Roman"/>
        </w:rPr>
      </w:pPr>
    </w:p>
    <w:p w:rsidR="00C6549C" w:rsidRPr="00C6549C" w:rsidRDefault="00C6549C" w:rsidP="00C6549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  <w:b/>
          <w:bCs/>
        </w:rPr>
      </w:pPr>
      <w:r w:rsidRPr="00C6549C">
        <w:rPr>
          <w:rFonts w:ascii="Calibri" w:eastAsia="Calibri" w:hAnsi="Calibri" w:cs="Times New Roman"/>
          <w:b/>
          <w:bCs/>
        </w:rPr>
        <w:t>Modulo I</w:t>
      </w:r>
    </w:p>
    <w:p w:rsidR="00C6549C" w:rsidRPr="00C6549C" w:rsidRDefault="00C6549C" w:rsidP="00C6549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</w:rPr>
      </w:pPr>
      <w:r w:rsidRPr="00C6549C">
        <w:rPr>
          <w:rFonts w:ascii="Calibri" w:eastAsia="Calibri" w:hAnsi="Calibri" w:cs="Times New Roman"/>
        </w:rPr>
        <w:t>Psicología social: elementos para su conceptualización. Conceptos fundamentales.</w:t>
      </w:r>
    </w:p>
    <w:p w:rsidR="00C6549C" w:rsidRPr="00C6549C" w:rsidRDefault="00C6549C" w:rsidP="00C6549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</w:rPr>
      </w:pPr>
      <w:r w:rsidRPr="00C6549C">
        <w:rPr>
          <w:rFonts w:ascii="Calibri" w:eastAsia="Calibri" w:hAnsi="Calibri" w:cs="Times New Roman"/>
        </w:rPr>
        <w:t>La psicología social desde el psicoanálisis. Psicología de las masas.</w:t>
      </w:r>
    </w:p>
    <w:p w:rsidR="00C6549C" w:rsidRPr="00C6549C" w:rsidRDefault="00C6549C" w:rsidP="00C6549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</w:rPr>
      </w:pPr>
      <w:r w:rsidRPr="00C6549C">
        <w:rPr>
          <w:rFonts w:ascii="Calibri" w:eastAsia="Calibri" w:hAnsi="Calibri" w:cs="Times New Roman"/>
        </w:rPr>
        <w:t xml:space="preserve">Conducta. Las formas de adaptación a la realidad. Adaptación pasiva y adaptación </w:t>
      </w:r>
      <w:proofErr w:type="spellStart"/>
      <w:r w:rsidRPr="00C6549C">
        <w:rPr>
          <w:rFonts w:ascii="Calibri" w:eastAsia="Calibri" w:hAnsi="Calibri" w:cs="Times New Roman"/>
        </w:rPr>
        <w:t>activa.Conflicto</w:t>
      </w:r>
      <w:proofErr w:type="spellEnd"/>
      <w:r w:rsidRPr="00C6549C">
        <w:rPr>
          <w:rFonts w:ascii="Calibri" w:eastAsia="Calibri" w:hAnsi="Calibri" w:cs="Times New Roman"/>
        </w:rPr>
        <w:t>.</w:t>
      </w:r>
    </w:p>
    <w:p w:rsidR="00C6549C" w:rsidRPr="00C6549C" w:rsidRDefault="00C6549C" w:rsidP="00C6549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</w:rPr>
      </w:pPr>
    </w:p>
    <w:p w:rsidR="00C6549C" w:rsidRPr="00C6549C" w:rsidRDefault="00C6549C" w:rsidP="00C6549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  <w:b/>
        </w:rPr>
      </w:pPr>
      <w:proofErr w:type="spellStart"/>
      <w:r w:rsidRPr="00C6549C">
        <w:rPr>
          <w:rFonts w:ascii="Calibri" w:eastAsia="Calibri" w:hAnsi="Calibri" w:cs="Times New Roman"/>
          <w:b/>
        </w:rPr>
        <w:t>Modulo</w:t>
      </w:r>
      <w:proofErr w:type="spellEnd"/>
      <w:r w:rsidRPr="00C6549C">
        <w:rPr>
          <w:rFonts w:ascii="Calibri" w:eastAsia="Calibri" w:hAnsi="Calibri" w:cs="Times New Roman"/>
          <w:b/>
        </w:rPr>
        <w:t xml:space="preserve"> II</w:t>
      </w:r>
    </w:p>
    <w:p w:rsidR="00C6549C" w:rsidRPr="00C6549C" w:rsidRDefault="00C6549C" w:rsidP="00C6549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</w:rPr>
      </w:pPr>
      <w:r w:rsidRPr="00C6549C">
        <w:rPr>
          <w:rFonts w:ascii="Calibri" w:eastAsia="Calibri" w:hAnsi="Calibri" w:cs="Times New Roman"/>
        </w:rPr>
        <w:t xml:space="preserve"> Concepción de </w:t>
      </w:r>
      <w:proofErr w:type="spellStart"/>
      <w:proofErr w:type="gramStart"/>
      <w:r w:rsidRPr="00C6549C">
        <w:rPr>
          <w:rFonts w:ascii="Calibri" w:eastAsia="Calibri" w:hAnsi="Calibri" w:cs="Times New Roman"/>
        </w:rPr>
        <w:t>sujeto.La</w:t>
      </w:r>
      <w:proofErr w:type="spellEnd"/>
      <w:r w:rsidRPr="00C6549C">
        <w:rPr>
          <w:rFonts w:ascii="Calibri" w:eastAsia="Calibri" w:hAnsi="Calibri" w:cs="Times New Roman"/>
        </w:rPr>
        <w:t xml:space="preserve">  configuración</w:t>
      </w:r>
      <w:proofErr w:type="gramEnd"/>
      <w:r w:rsidRPr="00C6549C">
        <w:rPr>
          <w:rFonts w:ascii="Calibri" w:eastAsia="Calibri" w:hAnsi="Calibri" w:cs="Times New Roman"/>
        </w:rPr>
        <w:t xml:space="preserve"> del sujeto: sujeto en </w:t>
      </w:r>
      <w:proofErr w:type="spellStart"/>
      <w:r w:rsidRPr="00C6549C">
        <w:rPr>
          <w:rFonts w:ascii="Calibri" w:eastAsia="Calibri" w:hAnsi="Calibri" w:cs="Times New Roman"/>
        </w:rPr>
        <w:t>situación.Conducta</w:t>
      </w:r>
      <w:proofErr w:type="spellEnd"/>
      <w:r w:rsidRPr="00C6549C">
        <w:rPr>
          <w:rFonts w:ascii="Calibri" w:eastAsia="Calibri" w:hAnsi="Calibri" w:cs="Times New Roman"/>
        </w:rPr>
        <w:t xml:space="preserve"> como causación.</w:t>
      </w:r>
    </w:p>
    <w:p w:rsidR="00C6549C" w:rsidRPr="00C6549C" w:rsidRDefault="00C6549C" w:rsidP="00C6549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</w:rPr>
      </w:pPr>
      <w:r w:rsidRPr="00C6549C">
        <w:rPr>
          <w:rFonts w:ascii="Calibri" w:eastAsia="Calibri" w:hAnsi="Calibri" w:cs="Times New Roman"/>
        </w:rPr>
        <w:t xml:space="preserve">Los fundamentos del E.C.R.O., la Psicología social </w:t>
      </w:r>
      <w:proofErr w:type="spellStart"/>
      <w:r w:rsidRPr="00C6549C">
        <w:rPr>
          <w:rFonts w:ascii="Calibri" w:eastAsia="Calibri" w:hAnsi="Calibri" w:cs="Times New Roman"/>
        </w:rPr>
        <w:t>pichoniana</w:t>
      </w:r>
      <w:proofErr w:type="spellEnd"/>
      <w:r w:rsidRPr="00C6549C">
        <w:rPr>
          <w:rFonts w:ascii="Calibri" w:eastAsia="Calibri" w:hAnsi="Calibri" w:cs="Times New Roman"/>
        </w:rPr>
        <w:t xml:space="preserve"> y los nuevos paradigmas.</w:t>
      </w:r>
    </w:p>
    <w:p w:rsidR="00C6549C" w:rsidRPr="00C6549C" w:rsidRDefault="00C6549C" w:rsidP="00C6549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  <w:b/>
        </w:rPr>
      </w:pPr>
    </w:p>
    <w:p w:rsidR="00C6549C" w:rsidRPr="00C6549C" w:rsidRDefault="00C6549C" w:rsidP="00C6549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C6549C">
        <w:rPr>
          <w:rFonts w:ascii="Calibri" w:eastAsia="Calibri" w:hAnsi="Calibri" w:cs="Times New Roman"/>
          <w:b/>
        </w:rPr>
        <w:t>Módulo III</w:t>
      </w:r>
    </w:p>
    <w:p w:rsidR="00C6549C" w:rsidRPr="00C6549C" w:rsidRDefault="00C6549C" w:rsidP="00C6549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</w:rPr>
      </w:pPr>
      <w:r w:rsidRPr="00C6549C">
        <w:rPr>
          <w:rFonts w:ascii="Calibri" w:eastAsia="Calibri" w:hAnsi="Calibri" w:cs="Times New Roman"/>
        </w:rPr>
        <w:t xml:space="preserve">Vínculo: concepto. Procesos de interacción. Estructura </w:t>
      </w:r>
      <w:proofErr w:type="spellStart"/>
      <w:r w:rsidRPr="00C6549C">
        <w:rPr>
          <w:rFonts w:ascii="Calibri" w:eastAsia="Calibri" w:hAnsi="Calibri" w:cs="Times New Roman"/>
        </w:rPr>
        <w:t>interaccional</w:t>
      </w:r>
      <w:proofErr w:type="spellEnd"/>
      <w:r w:rsidRPr="00C6549C">
        <w:rPr>
          <w:rFonts w:ascii="Calibri" w:eastAsia="Calibri" w:hAnsi="Calibri" w:cs="Times New Roman"/>
        </w:rPr>
        <w:t>.</w:t>
      </w:r>
    </w:p>
    <w:p w:rsidR="00C6549C" w:rsidRPr="00C6549C" w:rsidRDefault="00C6549C" w:rsidP="00C6549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</w:rPr>
      </w:pPr>
      <w:r w:rsidRPr="00C6549C">
        <w:rPr>
          <w:rFonts w:ascii="Calibri" w:eastAsia="Calibri" w:hAnsi="Calibri" w:cs="Times New Roman"/>
        </w:rPr>
        <w:t>Sujeto, necesidades y vínculo.</w:t>
      </w:r>
    </w:p>
    <w:p w:rsidR="00C6549C" w:rsidRPr="00C6549C" w:rsidRDefault="00C6549C" w:rsidP="00C6549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</w:rPr>
      </w:pPr>
      <w:r w:rsidRPr="00C6549C">
        <w:rPr>
          <w:rFonts w:ascii="Calibri" w:eastAsia="Calibri" w:hAnsi="Calibri" w:cs="Times New Roman"/>
        </w:rPr>
        <w:t xml:space="preserve">La concepción de aprendizaje para la psicología social. Matrices de aprendizaje. La complejidad y </w:t>
      </w:r>
      <w:proofErr w:type="spellStart"/>
      <w:r w:rsidRPr="00C6549C">
        <w:rPr>
          <w:rFonts w:ascii="Calibri" w:eastAsia="Calibri" w:hAnsi="Calibri" w:cs="Times New Roman"/>
        </w:rPr>
        <w:t>multideterminación</w:t>
      </w:r>
      <w:proofErr w:type="spellEnd"/>
      <w:r w:rsidRPr="00C6549C">
        <w:rPr>
          <w:rFonts w:ascii="Calibri" w:eastAsia="Calibri" w:hAnsi="Calibri" w:cs="Times New Roman"/>
        </w:rPr>
        <w:t xml:space="preserve"> de los modelos internos. </w:t>
      </w:r>
    </w:p>
    <w:p w:rsidR="00C6549C" w:rsidRPr="00C6549C" w:rsidRDefault="00C6549C" w:rsidP="00C6549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</w:rPr>
      </w:pPr>
    </w:p>
    <w:p w:rsidR="00C6549C" w:rsidRPr="00C6549C" w:rsidRDefault="00C6549C" w:rsidP="00C6549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  <w:b/>
        </w:rPr>
      </w:pPr>
    </w:p>
    <w:p w:rsidR="00C6549C" w:rsidRPr="00C6549C" w:rsidRDefault="00C6549C" w:rsidP="00C6549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C6549C">
        <w:rPr>
          <w:rFonts w:ascii="Calibri" w:eastAsia="Calibri" w:hAnsi="Calibri" w:cs="Times New Roman"/>
          <w:b/>
        </w:rPr>
        <w:t>Módulo IV</w:t>
      </w:r>
    </w:p>
    <w:p w:rsidR="00C6549C" w:rsidRPr="00C6549C" w:rsidRDefault="00C6549C" w:rsidP="00C6549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</w:rPr>
      </w:pPr>
      <w:r w:rsidRPr="00C6549C">
        <w:rPr>
          <w:rFonts w:ascii="Calibri" w:eastAsia="Calibri" w:hAnsi="Calibri" w:cs="Times New Roman"/>
        </w:rPr>
        <w:t>El sujeto en la estructura comunitaria.</w:t>
      </w:r>
    </w:p>
    <w:p w:rsidR="00C6549C" w:rsidRPr="00C6549C" w:rsidRDefault="00C6549C" w:rsidP="00C654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es-ES"/>
        </w:rPr>
      </w:pPr>
      <w:proofErr w:type="gramStart"/>
      <w:r w:rsidRPr="00C6549C">
        <w:rPr>
          <w:rFonts w:ascii="Calibri" w:eastAsia="Times New Roman" w:hAnsi="Calibri" w:cs="Calibri"/>
          <w:lang w:eastAsia="es-ES"/>
        </w:rPr>
        <w:t>Critica  de</w:t>
      </w:r>
      <w:proofErr w:type="gramEnd"/>
      <w:r w:rsidRPr="00C6549C">
        <w:rPr>
          <w:rFonts w:ascii="Calibri" w:eastAsia="Times New Roman" w:hAnsi="Calibri" w:cs="Calibri"/>
          <w:lang w:eastAsia="es-ES"/>
        </w:rPr>
        <w:t xml:space="preserve"> la vida cotidiana. Concepto de </w:t>
      </w:r>
      <w:proofErr w:type="gramStart"/>
      <w:r w:rsidRPr="00C6549C">
        <w:rPr>
          <w:rFonts w:ascii="Calibri" w:eastAsia="Times New Roman" w:hAnsi="Calibri" w:cs="Calibri"/>
          <w:lang w:eastAsia="es-ES"/>
        </w:rPr>
        <w:t>crítica .</w:t>
      </w:r>
      <w:proofErr w:type="gramEnd"/>
      <w:r w:rsidRPr="00C6549C">
        <w:rPr>
          <w:rFonts w:ascii="Calibri" w:eastAsia="Times New Roman" w:hAnsi="Calibri" w:cs="Calibri"/>
          <w:lang w:eastAsia="es-ES"/>
        </w:rPr>
        <w:t xml:space="preserve"> Concepto de cotidianeidad. Mito y vida cotidiana. Áreas de la cotidianeidad: trabajo, tiempo libre y organización familiar.</w:t>
      </w:r>
    </w:p>
    <w:p w:rsidR="00C6549C" w:rsidRPr="00C6549C" w:rsidRDefault="00C6549C" w:rsidP="00C6549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</w:rPr>
      </w:pPr>
      <w:r w:rsidRPr="00C6549C">
        <w:rPr>
          <w:rFonts w:ascii="Calibri" w:eastAsia="Calibri" w:hAnsi="Calibri" w:cs="Calibri"/>
        </w:rPr>
        <w:t>Concepto de salud y enfermedad en relación al marco conceptual.</w:t>
      </w:r>
    </w:p>
    <w:p w:rsidR="00C6549C" w:rsidRPr="00C6549C" w:rsidRDefault="00C6549C" w:rsidP="00C6549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</w:rPr>
      </w:pPr>
    </w:p>
    <w:p w:rsidR="00C6549C" w:rsidRPr="00C6549C" w:rsidRDefault="00C6549C" w:rsidP="00C6549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C6549C">
        <w:rPr>
          <w:rFonts w:ascii="Calibri" w:eastAsia="Calibri" w:hAnsi="Calibri" w:cs="Times New Roman"/>
          <w:b/>
        </w:rPr>
        <w:t>Módulo V</w:t>
      </w:r>
    </w:p>
    <w:p w:rsidR="00C6549C" w:rsidRPr="00C6549C" w:rsidRDefault="00C6549C" w:rsidP="00C6549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</w:rPr>
      </w:pPr>
      <w:r w:rsidRPr="00C6549C">
        <w:rPr>
          <w:rFonts w:ascii="Calibri" w:eastAsia="Calibri" w:hAnsi="Calibri" w:cs="Times New Roman"/>
        </w:rPr>
        <w:t>Grupo. ¿Qué es un grupo? Clasificación general.</w:t>
      </w:r>
    </w:p>
    <w:p w:rsidR="00C6549C" w:rsidRPr="00C6549C" w:rsidRDefault="00C6549C" w:rsidP="00C6549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</w:rPr>
      </w:pPr>
      <w:r w:rsidRPr="00C6549C">
        <w:rPr>
          <w:rFonts w:ascii="Calibri" w:eastAsia="Calibri" w:hAnsi="Calibri" w:cs="Times New Roman"/>
        </w:rPr>
        <w:t>El concepto de grupo y los principios organizadores de la estructura grupal según distintos autores.</w:t>
      </w:r>
    </w:p>
    <w:p w:rsidR="00C6549C" w:rsidRPr="00C6549C" w:rsidRDefault="00C6549C" w:rsidP="00C6549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</w:rPr>
      </w:pPr>
      <w:r w:rsidRPr="00C6549C">
        <w:rPr>
          <w:rFonts w:ascii="Calibri" w:eastAsia="Calibri" w:hAnsi="Calibri" w:cs="Times New Roman"/>
        </w:rPr>
        <w:t>Grupo operativo. Roles.</w:t>
      </w:r>
    </w:p>
    <w:p w:rsidR="00C6549C" w:rsidRPr="00C6549C" w:rsidRDefault="00C6549C" w:rsidP="00C6549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</w:rPr>
      </w:pPr>
      <w:r w:rsidRPr="00C6549C">
        <w:rPr>
          <w:rFonts w:ascii="Calibri" w:eastAsia="Calibri" w:hAnsi="Calibri" w:cs="Times New Roman"/>
        </w:rPr>
        <w:t>Las Instituciones Sociales. El lugar de las instituciones en la producción de subjetividad.</w:t>
      </w:r>
    </w:p>
    <w:p w:rsidR="00C6549C" w:rsidRPr="00C6549C" w:rsidRDefault="00C6549C" w:rsidP="00C6549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</w:rPr>
      </w:pPr>
      <w:r w:rsidRPr="00C6549C">
        <w:rPr>
          <w:rFonts w:ascii="Calibri" w:eastAsia="Calibri" w:hAnsi="Calibri" w:cs="Times New Roman"/>
        </w:rPr>
        <w:t>Articulación de los niveles de grupo, Organización e Institución</w:t>
      </w:r>
    </w:p>
    <w:p w:rsidR="003E51D4" w:rsidRDefault="003E51D4"/>
    <w:sectPr w:rsidR="003E51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C5"/>
    <w:rsid w:val="003E51D4"/>
    <w:rsid w:val="00460B90"/>
    <w:rsid w:val="00C6549C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3D770-F57B-44AF-99C0-E770FF93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0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Ludueña</dc:creator>
  <cp:keywords/>
  <dc:description/>
  <cp:lastModifiedBy>Alejandra Ludueña</cp:lastModifiedBy>
  <cp:revision>2</cp:revision>
  <cp:lastPrinted>2019-10-31T08:43:00Z</cp:lastPrinted>
  <dcterms:created xsi:type="dcterms:W3CDTF">2019-10-31T06:23:00Z</dcterms:created>
  <dcterms:modified xsi:type="dcterms:W3CDTF">2019-10-31T08:43:00Z</dcterms:modified>
</cp:coreProperties>
</file>