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F9" w:rsidRPr="00163B42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u w:val="single"/>
        </w:rPr>
      </w:pPr>
      <w:r w:rsidRPr="00163B42">
        <w:rPr>
          <w:rFonts w:asciiTheme="minorHAnsi" w:hAnsiTheme="minorHAnsi"/>
          <w:color w:val="0D0D0D" w:themeColor="text1" w:themeTint="F2"/>
          <w:sz w:val="22"/>
          <w:szCs w:val="22"/>
          <w:u w:val="single"/>
        </w:rPr>
        <w:t xml:space="preserve"> INSTITUTO DE EDUCACIÓN  SUPERIOR  N* 7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CARRERA: PROFESORADO DE EDUCACIÓN SUPERIOR </w:t>
      </w:r>
      <w:r w:rsidR="00EA3A96">
        <w:rPr>
          <w:rFonts w:asciiTheme="minorHAnsi" w:hAnsiTheme="minorHAnsi"/>
          <w:color w:val="0D0D0D" w:themeColor="text1" w:themeTint="F2"/>
          <w:sz w:val="22"/>
          <w:szCs w:val="22"/>
        </w:rPr>
        <w:t>EN CIENCIAS DE LA EDUCACIÓN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UNIDAD CURRICULAR: Sociología de la Educación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163B42" w:rsidRDefault="00EE62F9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CURSO: 2do. Año</w:t>
      </w:r>
    </w:p>
    <w:p w:rsidR="00163B42" w:rsidRDefault="00163B42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163B42" w:rsidRDefault="00163B42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RÉGIMEN DE CURSADO:  Anual-4hs. Cátedras semanales</w:t>
      </w:r>
    </w:p>
    <w:p w:rsidR="00163B42" w:rsidRDefault="00163B42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163B42" w:rsidRDefault="00163B42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163B42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PLAN: 260/03</w:t>
      </w:r>
      <w:r w:rsidR="0052223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Modificación RN 2025/10</w:t>
      </w:r>
    </w:p>
    <w:p w:rsidR="00163B42" w:rsidRDefault="00163B42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163B42" w:rsidRDefault="00EE62F9" w:rsidP="00163B42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PROFESORA: Ma. Cecilia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Pauloski</w:t>
      </w:r>
      <w:proofErr w:type="spellEnd"/>
      <w:r w:rsidR="00163B42" w:rsidRPr="00163B42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163B42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EA3A96">
        <w:rPr>
          <w:rFonts w:asciiTheme="minorHAnsi" w:hAnsiTheme="minorHAnsi"/>
          <w:color w:val="0D0D0D" w:themeColor="text1" w:themeTint="F2"/>
          <w:sz w:val="22"/>
          <w:szCs w:val="22"/>
        </w:rPr>
        <w:t>AÑO: 2017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A3A96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MARCO REFERENCIAL</w:t>
      </w:r>
    </w:p>
    <w:p w:rsidR="000749BC" w:rsidRDefault="000749BC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Pr="00B60A4D" w:rsidRDefault="000749BC" w:rsidP="00B60A4D">
      <w:pPr>
        <w:autoSpaceDE w:val="0"/>
        <w:autoSpaceDN w:val="0"/>
        <w:adjustRightInd w:val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La unidad curricular </w:t>
      </w:r>
      <w:r w:rsidRPr="00DE1C01">
        <w:rPr>
          <w:rFonts w:asciiTheme="minorHAnsi" w:hAnsiTheme="minorHAnsi"/>
          <w:color w:val="0D0D0D" w:themeColor="text1" w:themeTint="F2"/>
          <w:sz w:val="22"/>
          <w:szCs w:val="22"/>
        </w:rPr>
        <w:t xml:space="preserve">Sociología de la Educación en la formación de </w:t>
      </w:r>
      <w:proofErr w:type="spellStart"/>
      <w:r w:rsidRPr="00DE1C01">
        <w:rPr>
          <w:rFonts w:asciiTheme="minorHAnsi" w:hAnsiTheme="minorHAnsi"/>
          <w:color w:val="0D0D0D" w:themeColor="text1" w:themeTint="F2"/>
          <w:sz w:val="22"/>
          <w:szCs w:val="22"/>
        </w:rPr>
        <w:t>Cientistas</w:t>
      </w:r>
      <w:proofErr w:type="spellEnd"/>
      <w:r w:rsidRPr="00DE1C01">
        <w:rPr>
          <w:rFonts w:asciiTheme="minorHAnsi" w:hAnsiTheme="minorHAnsi"/>
          <w:color w:val="0D0D0D" w:themeColor="text1" w:themeTint="F2"/>
          <w:sz w:val="22"/>
          <w:szCs w:val="22"/>
        </w:rPr>
        <w:t xml:space="preserve"> de la Educación</w:t>
      </w:r>
      <w:r w:rsidR="00B60A4D">
        <w:rPr>
          <w:rFonts w:asciiTheme="minorHAnsi" w:hAnsiTheme="minorHAnsi"/>
          <w:color w:val="0D0D0D" w:themeColor="text1" w:themeTint="F2"/>
          <w:sz w:val="22"/>
          <w:szCs w:val="22"/>
        </w:rPr>
        <w:t xml:space="preserve"> debe promover una comprensión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</w:rPr>
        <w:t xml:space="preserve"> de la educación como práctica social e histórica y su relación con los procesos de conservación, reproducción y transformación de la sociedad en las dimensiones económica, política, social y cultural.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“</w:t>
      </w:r>
      <w:r>
        <w:rPr>
          <w:rStyle w:val="nfasissutil"/>
          <w:rFonts w:asciiTheme="minorHAnsi" w:hAnsiTheme="minorHAnsi"/>
          <w:color w:val="0D0D0D" w:themeColor="text1" w:themeTint="F2"/>
          <w:sz w:val="22"/>
          <w:szCs w:val="22"/>
        </w:rPr>
        <w:t xml:space="preserve">En realidad, lo social que constituye el marco necesario del proceso interpersonal </w:t>
      </w:r>
      <w:proofErr w:type="spellStart"/>
      <w:r>
        <w:rPr>
          <w:rStyle w:val="nfasissutil"/>
          <w:rFonts w:asciiTheme="minorHAnsi" w:hAnsiTheme="minorHAnsi"/>
          <w:color w:val="0D0D0D" w:themeColor="text1" w:themeTint="F2"/>
          <w:sz w:val="22"/>
          <w:szCs w:val="22"/>
        </w:rPr>
        <w:t>posibilitante</w:t>
      </w:r>
      <w:proofErr w:type="spellEnd"/>
      <w:r>
        <w:rPr>
          <w:rStyle w:val="nfasissutil"/>
          <w:rFonts w:asciiTheme="minorHAnsi" w:hAnsiTheme="minorHAnsi"/>
          <w:color w:val="0D0D0D" w:themeColor="text1" w:themeTint="F2"/>
          <w:sz w:val="22"/>
          <w:szCs w:val="22"/>
        </w:rPr>
        <w:t xml:space="preserve"> de la formación personal, no es estático sino que hay movimientos de ruptura. La búsqueda de la cristalización, del “ordenamiento”…  responde a la tendencia del hombre a creer que el orden es el Orden alguna vez “establecido”; sin darse cuenta que ese orden ha sido establecido y reestablecido tantas veces como el hombre  ha necesitado adecuar las organizaciones, los reglamentos, las leyes, las instituciones y lo que hay dentro de ellas, a su propio desarrollo…”.  (Virasoro, Pedro. Fundamento Sociológico. Pag 48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.)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El pensamiento sociológico desde sus rupturas y continuidades permite acceder a las múltip</w:t>
      </w:r>
      <w:r w:rsidR="003A5774">
        <w:rPr>
          <w:rFonts w:asciiTheme="minorHAnsi" w:hAnsiTheme="minorHAnsi"/>
          <w:color w:val="0D0D0D" w:themeColor="text1" w:themeTint="F2"/>
          <w:sz w:val="22"/>
          <w:szCs w:val="22"/>
        </w:rPr>
        <w:t>les tensiones existentes entre Sociedad y E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ducación para conocer al sujeto social del conocimiento que se gesta desde estas tensiones en el contexto actual de una crisis del sujeto y de las legitimaciones.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shd w:val="clear" w:color="auto" w:fill="FFFFFF"/>
        <w:spacing w:after="180" w:line="360" w:lineRule="atLeast"/>
        <w:jc w:val="both"/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Esta unidad curricular intentará </w:t>
      </w:r>
      <w:r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>articular ejes de discusión respecto de los desafíos que se le han planteado históricamente y en la actualidad al campo de la producción</w:t>
      </w:r>
      <w:r w:rsidR="003A5774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 teórica e investigativa de la Sociología de la E</w:t>
      </w:r>
      <w:r w:rsidR="005303D2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ducación; </w:t>
      </w:r>
      <w:r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>los problemas construidos por la disciplina, desde distintos y confrontados paradigmas, escuelas y tradiciones investigativas, deben situarse en determinados contextos socio-históricos de producción. Los enfoques constituyen respuestas teóricas a problemas que se legitiman como discursos hegemónicos o contra-hegemónicos en el campo académico, como así también, en los espacios sociales en los que circulan.</w:t>
      </w:r>
    </w:p>
    <w:p w:rsidR="00EE62F9" w:rsidRDefault="003A5774" w:rsidP="00EE62F9">
      <w:pPr>
        <w:shd w:val="clear" w:color="auto" w:fill="FFFFFF"/>
        <w:spacing w:after="180" w:line="360" w:lineRule="atLeast"/>
        <w:jc w:val="both"/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lastRenderedPageBreak/>
        <w:t xml:space="preserve"> Se hace necesario 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entonces, 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</w:rPr>
        <w:t xml:space="preserve">construir un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marco referencial que le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pemita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al estudiante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</w:rPr>
        <w:t xml:space="preserve"> desde distintas categorías sociológicas analizar y comprender problemáticas educativas contemporáneas,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 asumiendo posiciones críticas</w:t>
      </w:r>
      <w:r w:rsidR="00163B42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 que habilite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>n la de</w:t>
      </w:r>
      <w:r w:rsidR="00163B42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>snaturalización, que  no conciba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n al orden social como un orden natural sino básicamente como </w:t>
      </w:r>
      <w:r w:rsidR="00F7025F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>un orden injusto, que posibilite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n la intervención del sujeto, para que en el análisis de la cotidianeidad escolar pueda identificar </w:t>
      </w:r>
      <w:proofErr w:type="spellStart"/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>lo</w:t>
      </w:r>
      <w:proofErr w:type="spellEnd"/>
      <w:r w:rsidR="00EE62F9"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  <w:t xml:space="preserve"> no-cotidiano.</w:t>
      </w:r>
    </w:p>
    <w:p w:rsidR="00B60A4D" w:rsidRDefault="00B60A4D" w:rsidP="00EE62F9">
      <w:pPr>
        <w:shd w:val="clear" w:color="auto" w:fill="FFFFFF"/>
        <w:spacing w:after="180" w:line="360" w:lineRule="atLeast"/>
        <w:jc w:val="both"/>
        <w:rPr>
          <w:rFonts w:asciiTheme="minorHAnsi" w:hAnsiTheme="minorHAnsi"/>
          <w:color w:val="0D0D0D" w:themeColor="text1" w:themeTint="F2"/>
          <w:sz w:val="22"/>
          <w:szCs w:val="22"/>
          <w:lang w:eastAsia="es-AR"/>
        </w:rPr>
      </w:pPr>
      <w:r w:rsidRPr="00DE1C01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La realidad so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cial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y educativa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no es evidente para todos. </w:t>
      </w:r>
      <w:r w:rsidRPr="00DE1C01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Sólo podemos ver aquello que nuestras categorías de percepción y valoración 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nos permite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n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ver, por ello será fundamental que los saberes abordados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en esta unidad curricular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puedan proveerle al estudiante un alto grado de sistematización de sus conocimientos prácticos</w:t>
      </w:r>
      <w:r w:rsidR="003A5774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PROPÓSITOS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* Generar una línea de debate permanente sobre</w:t>
      </w:r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los postulados teóricos de la Sociología P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ositiva.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* Promover una actitud crítico-reflexiva que posibilite un análisis autónomo de las problemáticas educativas contemporáneas que se abordarán en esta unidad curricular.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* Favorecer la valoración de los aportes teórico-metodológicos del pensamiento sociológico para el futuro ejercicio profesional.</w:t>
      </w: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Narrow"/>
          <w:color w:val="0D0D0D" w:themeColor="text1" w:themeTint="F2"/>
          <w:sz w:val="22"/>
          <w:szCs w:val="22"/>
        </w:rPr>
        <w:t>* Configurar nuevos puntos de vista y pensar alternativas posibles, estableciendo una relación de tensión entre teoría – práctica que propenda a una permanente revisión de ambas, como actitud insustituible en un proceso de formación profesional.</w:t>
      </w: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Narrow"/>
          <w:color w:val="0D0D0D" w:themeColor="text1" w:themeTint="F2"/>
          <w:sz w:val="22"/>
          <w:szCs w:val="22"/>
        </w:rPr>
        <w:t xml:space="preserve">SABERES PREVIOS EN RELACIÓN A LA UNIDAD CURRICULAR: </w:t>
      </w: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Narrow"/>
          <w:color w:val="0D0D0D" w:themeColor="text1" w:themeTint="F2"/>
          <w:sz w:val="22"/>
          <w:szCs w:val="22"/>
        </w:rPr>
        <w:t>Sociedad-Educación-Cultura- Socialización.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Narrow"/>
          <w:color w:val="0D0D0D" w:themeColor="text1" w:themeTint="F2"/>
          <w:sz w:val="22"/>
          <w:szCs w:val="22"/>
        </w:rPr>
        <w:t xml:space="preserve">SABERES PREVIOS EN RELACIÓN A LAS TIC: </w:t>
      </w:r>
    </w:p>
    <w:p w:rsidR="00EE62F9" w:rsidRDefault="00EE62F9" w:rsidP="00EE62F9">
      <w:pPr>
        <w:jc w:val="both"/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Se considera necesario que conozcan las funciones básicas del ordenador y que puedan manejar programas simples. Además que puedan acceder a fuentes fidedignas para buscar fotos y datos biográficos de distintos autores, así como también a diferentes direcciones para observar los videos trabajados en clase. Para la realización de spots dominio de </w:t>
      </w:r>
      <w:proofErr w:type="spellStart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power</w:t>
      </w:r>
      <w:proofErr w:type="spellEnd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point</w:t>
      </w:r>
      <w:proofErr w:type="spellEnd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movie</w:t>
      </w:r>
      <w:proofErr w:type="spellEnd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maker</w:t>
      </w:r>
      <w:proofErr w:type="spellEnd"/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.</w:t>
      </w:r>
    </w:p>
    <w:p w:rsidR="00EE62F9" w:rsidRDefault="00EE62F9" w:rsidP="00EE62F9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CONTENIDOS CONCEPTUALES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D62260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UNIDAD I: </w:t>
      </w:r>
    </w:p>
    <w:p w:rsidR="004C5A04" w:rsidRDefault="004C5A04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B728C4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El surgimiento de la Sociología:</w:t>
      </w:r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Saint-</w:t>
      </w:r>
      <w:proofErr w:type="spellStart"/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>Simon</w:t>
      </w:r>
      <w:proofErr w:type="spellEnd"/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 xml:space="preserve">-Comte. 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</w:rPr>
        <w:t>Durkheim.</w:t>
      </w:r>
      <w:r w:rsidR="004C5A04" w:rsidRPr="004C5A0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>Validación científica y objeto de estudio</w:t>
      </w:r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>.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</w:rPr>
        <w:t xml:space="preserve"> La teoría organicista: Individuo, Sociedad y Educación. El proceso de socialización. Marx:</w:t>
      </w:r>
      <w:r w:rsidR="004C5A0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Materialismo histórico. </w:t>
      </w:r>
      <w:r w:rsidR="00EE62F9">
        <w:rPr>
          <w:rFonts w:asciiTheme="minorHAnsi" w:hAnsiTheme="minorHAnsi"/>
          <w:color w:val="0D0D0D" w:themeColor="text1" w:themeTint="F2"/>
          <w:sz w:val="22"/>
          <w:szCs w:val="22"/>
        </w:rPr>
        <w:t xml:space="preserve"> Estructura social. Estado.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D62260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UNIDAD II: </w:t>
      </w:r>
    </w:p>
    <w:p w:rsidR="004C5A04" w:rsidRDefault="004C5A04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Teorías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reproductivistas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>: Influencia marxista en los postulados teóricos. Bourdieu-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Passeron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: Teoría de la reproducción cultural y social. Campo y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hábitus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. Capital cultural. Estado y Violencia simbólica.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Althuser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: Estado como aparato represivo. Ideología, Educación y Reproducción social: los aparatos educativos como aparatos ideológicos. La escuela como reproductora en múltiples sentidos. </w:t>
      </w:r>
    </w:p>
    <w:p w:rsidR="004C5A04" w:rsidRDefault="004C5A04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D62260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UNIDAD III:</w:t>
      </w:r>
    </w:p>
    <w:p w:rsidR="009D2246" w:rsidRDefault="009D2246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B728C4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Hacia una teoría crítica emergente:</w:t>
      </w:r>
      <w:r w:rsidR="00B728C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Postulados. </w:t>
      </w:r>
      <w:r w:rsidR="00B728C4" w:rsidRPr="004F43F5">
        <w:rPr>
          <w:rFonts w:asciiTheme="minorHAnsi" w:hAnsiTheme="minorHAnsi"/>
          <w:color w:val="0D0D0D" w:themeColor="text1" w:themeTint="F2"/>
          <w:sz w:val="22"/>
          <w:szCs w:val="22"/>
        </w:rPr>
        <w:t>Gramsci</w:t>
      </w:r>
      <w:r w:rsidR="00AF76EC" w:rsidRPr="004F43F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Hegemonía</w:t>
      </w:r>
      <w:r w:rsidR="000058CC" w:rsidRPr="004F43F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y</w:t>
      </w:r>
      <w:r w:rsidR="00AF76EC" w:rsidRPr="004F43F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sociedad civil</w:t>
      </w:r>
      <w:r w:rsidR="000058CC" w:rsidRPr="004F43F5">
        <w:rPr>
          <w:rFonts w:asciiTheme="minorHAnsi" w:hAnsiTheme="minorHAnsi"/>
          <w:color w:val="0D0D0D" w:themeColor="text1" w:themeTint="F2"/>
          <w:sz w:val="22"/>
          <w:szCs w:val="22"/>
        </w:rPr>
        <w:t>.</w:t>
      </w:r>
      <w:r w:rsidR="004F43F5" w:rsidRPr="004F43F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</w:t>
      </w:r>
      <w:r w:rsidR="00B728C4" w:rsidRPr="004F43F5">
        <w:rPr>
          <w:rFonts w:asciiTheme="minorHAnsi" w:hAnsiTheme="minorHAnsi"/>
          <w:color w:val="0D0D0D" w:themeColor="text1" w:themeTint="F2"/>
          <w:sz w:val="22"/>
          <w:szCs w:val="22"/>
        </w:rPr>
        <w:t>entido común praxis ¿?</w:t>
      </w:r>
      <w:r w:rsidR="00B728C4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La construcción social de la escuela. Vida cotidiana escolar. Igualdad, desigualdad y diversidad. Darwinismo escolar y fracaso educativo: Acceso, permanencia y promoción en el sistema educativo. Desnaturalizar las razones del fracaso escolar. Desigualdad social y educativa: determinismo biológico y educación. Dicotomías recurrentes: Herencia y ambiente. Tipificaciones y expectativas recíprocas</w:t>
      </w:r>
      <w:r w:rsidR="009E672D">
        <w:rPr>
          <w:rFonts w:asciiTheme="minorHAnsi" w:hAnsiTheme="minorHAnsi"/>
          <w:color w:val="0D0D0D" w:themeColor="text1" w:themeTint="F2"/>
          <w:sz w:val="22"/>
          <w:szCs w:val="22"/>
        </w:rPr>
        <w:t>.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B728C4" w:rsidRDefault="00B728C4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D62260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UNIDAD IV:</w:t>
      </w:r>
    </w:p>
    <w:p w:rsidR="009D2246" w:rsidRDefault="009D2246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Intolerancia cultural y racismo en la institución educativa. Relaciones de género y saberes sociales: Fuentes del currículo formal. Producción de saberes y relaciones de género. Educación de mujeres: El problema del acceso al sistema educativo. Las prácticas sexistas en las escuelas. Masculinidades hegemónicas y subordinadas.</w:t>
      </w:r>
    </w:p>
    <w:p w:rsidR="00D62260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La construcción socio-educativa del becario. Resignificación de la categoría de becario Meritocracia y pobreza: Las becas escolares. La relación entre pobreza y trayectoria escolar. ¿Violencia escolar o violencia en la escuela? La construcción social del alumno violento. La violencia en su dimensión social, cultural y simbólica.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rPr>
          <w:rFonts w:asciiTheme="minorHAnsi" w:hAnsiTheme="minorHAnsi" w:cs="Arial"/>
          <w:color w:val="0D0D0D" w:themeColor="text1" w:themeTint="F2"/>
          <w:sz w:val="22"/>
          <w:szCs w:val="22"/>
        </w:rPr>
      </w:pP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TEMPORALIZACIÓN: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1er. Cuatrimestre: Unidad I- Unidad II.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2do. Cuatrimestre: Unidad III- Unidad IV.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MARCO METODOLÓGICO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El desarrollo de las clases tendrá en general un primer momento de trabajo a veces individual otras  en pequeños grupos desde el cual se intentará establecer un primer vínculo entre los saberes portados por el grupo y el contenido a tratar con la intención de explicitar representaciones internalizadas.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Luego se desarrollará un segundo momento de carácter interrogativo/dial</w:t>
      </w:r>
      <w:r>
        <w:rPr>
          <w:rFonts w:asciiTheme="minorHAnsi" w:hAnsiTheme="minorHAnsi" w:cs="Arial"/>
          <w:color w:val="0D0D0D" w:themeColor="text1" w:themeTint="F2"/>
          <w:sz w:val="22"/>
          <w:szCs w:val="22"/>
        </w:rPr>
        <w:t>ógico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en el que, partiendo de los primeros saberes puestos en juego y con la apoyatura de textos y videos, se hará el planteamiento del nudo conceptual del contenido a tratar, presentando las posturas de los autores que conforman la bibliografía obligatoria. Será una constante la contextualización del pensamiento de los distintos autores a través de un abordaje biográfico situado histórica-social y culturalmente.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Fina</w:t>
      </w:r>
      <w:r w:rsidR="009E672D">
        <w:rPr>
          <w:rFonts w:asciiTheme="minorHAnsi" w:hAnsiTheme="minorHAnsi"/>
          <w:color w:val="0D0D0D" w:themeColor="text1" w:themeTint="F2"/>
          <w:sz w:val="22"/>
          <w:szCs w:val="22"/>
        </w:rPr>
        <w:t xml:space="preserve">lmente, y en un tercer momento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a veces de trabajo individual y otras de trab</w:t>
      </w:r>
      <w:r w:rsidR="009E672D">
        <w:rPr>
          <w:rFonts w:asciiTheme="minorHAnsi" w:hAnsiTheme="minorHAnsi"/>
          <w:color w:val="0D0D0D" w:themeColor="text1" w:themeTint="F2"/>
          <w:sz w:val="22"/>
          <w:szCs w:val="22"/>
        </w:rPr>
        <w:t xml:space="preserve">ajo grupal, se desarrollará en torno a 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la aplicación y transferen</w:t>
      </w:r>
      <w:r w:rsidR="009E672D">
        <w:rPr>
          <w:rFonts w:asciiTheme="minorHAnsi" w:hAnsiTheme="minorHAnsi"/>
          <w:color w:val="0D0D0D" w:themeColor="text1" w:themeTint="F2"/>
          <w:sz w:val="22"/>
          <w:szCs w:val="22"/>
        </w:rPr>
        <w:t>cia de los contenidos abordados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a través de la resolución de diferentes </w:t>
      </w:r>
      <w:r w:rsidR="00BE1C9E">
        <w:rPr>
          <w:rFonts w:asciiTheme="minorHAnsi" w:hAnsiTheme="minorHAnsi"/>
          <w:color w:val="0D0D0D" w:themeColor="text1" w:themeTint="F2"/>
          <w:sz w:val="22"/>
          <w:szCs w:val="22"/>
        </w:rPr>
        <w:t>actividades.</w:t>
      </w:r>
    </w:p>
    <w:p w:rsidR="00EE62F9" w:rsidRDefault="00EE62F9" w:rsidP="00EE62F9">
      <w:pPr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Cs/>
          <w:color w:val="0D0D0D" w:themeColor="text1" w:themeTint="F2"/>
          <w:sz w:val="22"/>
          <w:szCs w:val="22"/>
        </w:rPr>
        <w:t>CRITERIOS DE EVALUACIÓN</w:t>
      </w:r>
    </w:p>
    <w:p w:rsidR="00EE62F9" w:rsidRDefault="00EE62F9" w:rsidP="00EE62F9">
      <w:pPr>
        <w:jc w:val="both"/>
        <w:rPr>
          <w:rFonts w:asciiTheme="minorHAnsi" w:hAnsiTheme="minorHAnsi"/>
          <w:bCs/>
          <w:color w:val="0D0D0D" w:themeColor="text1" w:themeTint="F2"/>
          <w:sz w:val="22"/>
          <w:szCs w:val="22"/>
        </w:rPr>
      </w:pPr>
    </w:p>
    <w:p w:rsidR="00EE62F9" w:rsidRDefault="00EE62F9" w:rsidP="00EE62F9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Nivel de compromiso a</w:t>
      </w:r>
      <w:r w:rsidR="00A523B8">
        <w:rPr>
          <w:rFonts w:asciiTheme="minorHAnsi" w:hAnsiTheme="minorHAnsi"/>
          <w:color w:val="0D0D0D" w:themeColor="text1" w:themeTint="F2"/>
          <w:sz w:val="22"/>
          <w:szCs w:val="22"/>
        </w:rPr>
        <w:t>sumido en el cursado de la unidad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curricular.</w:t>
      </w:r>
    </w:p>
    <w:p w:rsidR="00EE62F9" w:rsidRDefault="00EE62F9" w:rsidP="00EE62F9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Adquisición de vocabulario específico.</w:t>
      </w:r>
    </w:p>
    <w:p w:rsidR="00EE62F9" w:rsidRDefault="00EE62F9" w:rsidP="00EE62F9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Comprensión de las complejas relaciones entre educación y sociedad.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Identificación y transferencia de postulados teóricos a la realidad</w:t>
      </w:r>
      <w:r w:rsidR="00904A0B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socio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educativa actual.</w:t>
      </w:r>
    </w:p>
    <w:p w:rsidR="00EE62F9" w:rsidRDefault="00EE62F9" w:rsidP="00EE62F9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Reflexión sobre problemáticas educativas contemporáneas desde categorías sociológicas</w:t>
      </w:r>
      <w:r w:rsidR="00904A0B">
        <w:rPr>
          <w:rFonts w:asciiTheme="minorHAnsi" w:hAnsiTheme="minorHAnsi"/>
          <w:color w:val="0D0D0D" w:themeColor="text1" w:themeTint="F2"/>
          <w:sz w:val="22"/>
          <w:szCs w:val="22"/>
        </w:rPr>
        <w:t>.</w:t>
      </w:r>
    </w:p>
    <w:p w:rsidR="00EE62F9" w:rsidRPr="00F52C3F" w:rsidRDefault="00EE62F9" w:rsidP="00EE62F9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</w:t>
      </w:r>
      <w:r w:rsidRPr="00F52C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Claridad argumentativa</w:t>
      </w:r>
      <w:r w:rsidR="00904A0B" w:rsidRPr="00F52C3F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</w:t>
      </w:r>
      <w:r w:rsidR="00904A0B" w:rsidRPr="00F52C3F">
        <w:rPr>
          <w:rFonts w:asciiTheme="minorHAnsi" w:hAnsiTheme="minorHAnsi" w:cstheme="minorHAnsi"/>
          <w:sz w:val="22"/>
          <w:szCs w:val="22"/>
        </w:rPr>
        <w:t>p</w:t>
      </w:r>
      <w:r w:rsidR="00904A0B" w:rsidRPr="00F52C3F">
        <w:rPr>
          <w:rFonts w:asciiTheme="minorHAnsi" w:hAnsiTheme="minorHAnsi" w:cstheme="minorHAnsi"/>
          <w:sz w:val="22"/>
          <w:szCs w:val="22"/>
        </w:rPr>
        <w:t>recisión conceptual y articulaciones significativas de contenidos</w:t>
      </w:r>
      <w:r w:rsidR="00F52C3F">
        <w:rPr>
          <w:rFonts w:asciiTheme="minorHAnsi" w:hAnsiTheme="minorHAnsi" w:cstheme="minorHAnsi"/>
          <w:sz w:val="22"/>
          <w:szCs w:val="22"/>
        </w:rPr>
        <w:t>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 -     Actitud reflexiva y crítica.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    </w:t>
      </w:r>
    </w:p>
    <w:p w:rsidR="00EE62F9" w:rsidRPr="00904A0B" w:rsidRDefault="00EE62F9" w:rsidP="00904A0B">
      <w:pPr>
        <w:jc w:val="both"/>
        <w:rPr>
          <w:rFonts w:asciiTheme="minorHAnsi" w:hAnsiTheme="minorHAnsi" w:cstheme="minorHAnsi"/>
          <w:sz w:val="22"/>
          <w:szCs w:val="22"/>
        </w:rPr>
      </w:pPr>
      <w:r w:rsidRPr="00904A0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BIBLIOGRAFÍA</w:t>
      </w:r>
      <w:r w:rsidR="00904A0B" w:rsidRPr="00904A0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OBLIGATORIA: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-AYUSTE, A. y otros. “Planteamientos de la pedagogía crítica. Comunicar y transformar” Ed. Grao. 2da edición.</w:t>
      </w:r>
    </w:p>
    <w:p w:rsidR="00C84D74" w:rsidRDefault="00C84D74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-BOURDIEU, P. “El sentido social del gusto</w:t>
      </w:r>
      <w:r w:rsidR="00EA4F3A">
        <w:rPr>
          <w:rFonts w:asciiTheme="minorHAnsi" w:hAnsiTheme="minorHAnsi"/>
          <w:color w:val="0D0D0D" w:themeColor="text1" w:themeTint="F2"/>
          <w:sz w:val="22"/>
          <w:szCs w:val="22"/>
        </w:rPr>
        <w:t>. Elementos para una sociología de la cultura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>”.</w:t>
      </w:r>
      <w:r w:rsidR="00EA4F3A">
        <w:rPr>
          <w:rFonts w:asciiTheme="minorHAnsi" w:hAnsiTheme="minorHAnsi"/>
          <w:color w:val="0D0D0D" w:themeColor="text1" w:themeTint="F2"/>
          <w:sz w:val="22"/>
          <w:szCs w:val="22"/>
        </w:rPr>
        <w:t xml:space="preserve"> Pág. 9 a 18. Ed. S XXI. 2010,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-CALDERONE, M.  “Sobre violencia simbólica en Pierre Bourdieu” en La trama de la comunicación. Vol. 9. UNR Editora. 2004.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-DI TELLA, T. y LUCCHINI, S. “Nociones básicas de Sociología”.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  <w:lang w:val="en-US"/>
        </w:rPr>
        <w:t>Cap.I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  <w:lang w:val="en-US"/>
        </w:rPr>
        <w:t xml:space="preserve">, II, III, V. Ed.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Biblos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. 2001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-DURKHEIM, E “Las reglas del método sociológico”.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Cap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1. Ed.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Gradifco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>. 2011.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-ESPINOSA, M. y GALARRAGA, G. “Sociología de la educación”. </w:t>
      </w:r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U.N.L. 2004.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-ESCUDERO MUÑOZ, J. y otros. “El fracaso escolar como exclusión: comprensión, políticas y prácticas”, en Revista Iberoamericana de Educación. Nº 50. 2009.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-GLUZ, N. “Becas estudiantiles: caracterización de la pobreza” en Novedades Educativas. N° 172. 2005.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-LAFFORGUE, M. “Sociología. De Saint-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Simon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 xml:space="preserve"> a Pierre Bourdieu”.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Pp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 xml:space="preserve"> 9 a 48. 3ra. Reimpresión. 2011.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-LLOMOVATE, S. y KAPLAN, C. “Desigualdad educativa. La naturaleza como pretexto.” Ed.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Noveduc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>. 2005.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-LORENZO, M. y ZANGARO, M. “Proyectos y metodologías de la investigación”.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Cap.II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>. Ed. Aula-Taller.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-MADDONNI, P. y SIPES, M. “El trabajo del director y el cuidado de las trayectorias educativas”. Ministerio de Educación de la Nación. 2010.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-MORGADE, G. “Aprender a ser mujer, aprender a ser varón”. Cap. 3 y 4. Ediciones Novedades Educativas. 2001.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-RIVAS, A. “Radiografía de la educación argentina”. Cap. 1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pp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11 a 24.Fundación CIPPEC 2010.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-SGRÓ, M. “Las Corrientes Críticas.” Clase N° 9. Universidad del Centro. Tandil. 2011. </w:t>
      </w:r>
    </w:p>
    <w:p w:rsidR="00A523B8" w:rsidRDefault="00A523B8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A523B8" w:rsidRDefault="00A523B8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9D2246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Videos:</w:t>
      </w:r>
    </w:p>
    <w:p w:rsidR="009D2246" w:rsidRDefault="009D2246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052A7A" w:rsidRDefault="007E214B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La aventura del pensamiento: Karl Marx. Cap. 11. Disponible en</w:t>
      </w:r>
      <w:r w:rsidR="008159A9" w:rsidRPr="008159A9">
        <w:rPr>
          <w:rFonts w:asciiTheme="minorHAnsi" w:hAnsiTheme="minorHAnsi"/>
          <w:color w:val="0D0D0D" w:themeColor="text1" w:themeTint="F2"/>
          <w:sz w:val="22"/>
          <w:szCs w:val="22"/>
        </w:rPr>
        <w:t>https://youtu.be/8ef6BX2FdCk</w:t>
      </w: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consultado 11/03/15</w:t>
      </w:r>
    </w:p>
    <w:p w:rsidR="00052A7A" w:rsidRDefault="00052A7A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Estilos de vida. </w:t>
      </w:r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 xml:space="preserve">Bourdieu, disponible en </w:t>
      </w:r>
      <w:hyperlink r:id="rId5" w:history="1">
        <w:r>
          <w:rPr>
            <w:rStyle w:val="Hipervnculo"/>
            <w:rFonts w:asciiTheme="minorHAnsi" w:hAnsiTheme="minorHAnsi"/>
            <w:color w:val="0D0D0D" w:themeColor="text1" w:themeTint="F2"/>
            <w:sz w:val="22"/>
            <w:szCs w:val="22"/>
            <w:lang w:val="es-AR"/>
          </w:rPr>
          <w:t>http://www.youtube.com/watch?v=pse3qDHB964&amp;feature=player_detailpage</w:t>
        </w:r>
      </w:hyperlink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 xml:space="preserve"> </w:t>
      </w:r>
    </w:p>
    <w:p w:rsidR="00052A7A" w:rsidRDefault="00052A7A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A5620E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lastRenderedPageBreak/>
        <w:t xml:space="preserve"> Pierre Bourdieu: Grandes </w:t>
      </w:r>
      <w:proofErr w:type="spellStart"/>
      <w:r>
        <w:rPr>
          <w:rFonts w:asciiTheme="minorHAnsi" w:hAnsiTheme="minorHAnsi"/>
          <w:color w:val="0D0D0D" w:themeColor="text1" w:themeTint="F2"/>
          <w:sz w:val="22"/>
          <w:szCs w:val="22"/>
        </w:rPr>
        <w:t>pensandores</w:t>
      </w:r>
      <w:proofErr w:type="spellEnd"/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del siglo xx, disponible en </w:t>
      </w:r>
      <w:hyperlink r:id="rId6" w:history="1">
        <w:r>
          <w:rPr>
            <w:rStyle w:val="Hipervnculo"/>
            <w:rFonts w:asciiTheme="minorHAnsi" w:hAnsiTheme="minorHAnsi"/>
            <w:color w:val="0D0D0D" w:themeColor="text1" w:themeTint="F2"/>
            <w:sz w:val="22"/>
            <w:szCs w:val="22"/>
          </w:rPr>
          <w:t>http://www.youtube.com/watch?v=_BkO_wjL-LM</w:t>
        </w:r>
      </w:hyperlink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EE62F9" w:rsidRDefault="00EE62F9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A5620E" w:rsidRPr="004F2EEB" w:rsidRDefault="00B067D3" w:rsidP="00A562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Simon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B</w:t>
      </w:r>
      <w:r w:rsidRPr="004F2EE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eavoir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No se nace mujer disponible en </w:t>
      </w:r>
      <w:hyperlink r:id="rId7" w:history="1">
        <w:r w:rsidR="00A5620E" w:rsidRPr="004F2EE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s-AR" w:eastAsia="en-US"/>
          </w:rPr>
          <w:t>http://www.youtube.com/watch?v=cq9XdYPfZWc</w:t>
        </w:r>
      </w:hyperlink>
    </w:p>
    <w:p w:rsidR="00E36DEA" w:rsidRPr="00E36DEA" w:rsidRDefault="009D2246" w:rsidP="00E36DE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Graciela</w:t>
      </w:r>
      <w:r w:rsidR="00E36DEA"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proofErr w:type="spellStart"/>
      <w:r w:rsidR="00E36DEA"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Morgade</w:t>
      </w:r>
      <w:proofErr w:type="spellEnd"/>
      <w:r w:rsidR="00B067D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disponible</w:t>
      </w:r>
      <w:r w:rsidR="00E36DEA"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en </w:t>
      </w:r>
      <w:hyperlink r:id="rId8" w:history="1">
        <w:r w:rsidR="00E36DEA" w:rsidRPr="00E36DE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s-AR" w:eastAsia="en-US"/>
          </w:rPr>
          <w:t>http://www.youtube.com/watch?v=0EWaYHa6k4I</w:t>
        </w:r>
      </w:hyperlink>
      <w:r w:rsidR="00E36DEA"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</w:p>
    <w:p w:rsidR="00E36DEA" w:rsidRPr="00E36DEA" w:rsidRDefault="00E36DEA" w:rsidP="00E36DEA">
      <w:pPr>
        <w:shd w:val="clear" w:color="auto" w:fill="FFFFFF"/>
        <w:outlineLvl w:val="0"/>
        <w:rPr>
          <w:rFonts w:ascii="Arial" w:hAnsi="Arial" w:cs="Arial"/>
          <w:color w:val="222222"/>
          <w:kern w:val="36"/>
          <w:sz w:val="36"/>
          <w:szCs w:val="36"/>
          <w:lang w:val="es-AR" w:eastAsia="es-AR"/>
        </w:rPr>
      </w:pPr>
      <w:r w:rsidRPr="00E36DEA">
        <w:rPr>
          <w:rFonts w:asciiTheme="minorHAnsi" w:hAnsiTheme="minorHAnsi" w:cs="Arial"/>
          <w:color w:val="222222"/>
          <w:kern w:val="36"/>
          <w:sz w:val="22"/>
          <w:szCs w:val="22"/>
          <w:lang w:val="es-AR" w:eastAsia="es-AR"/>
        </w:rPr>
        <w:t>Carina</w:t>
      </w:r>
      <w:r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Kaplan</w:t>
      </w:r>
      <w:r w:rsidR="00B067D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disponible en</w:t>
      </w:r>
      <w:r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</w:t>
      </w:r>
      <w:hyperlink r:id="rId9" w:history="1">
        <w:r w:rsidRPr="00E36DE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s-AR" w:eastAsia="en-US"/>
          </w:rPr>
          <w:t>http://www.youtube.com/watch?v=fgPdu2_V-z0</w:t>
        </w:r>
      </w:hyperlink>
    </w:p>
    <w:p w:rsidR="004F2EEB" w:rsidRDefault="004F2EEB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4F2EEB" w:rsidRDefault="004F2EEB" w:rsidP="00EE62F9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Pr="00B067D3" w:rsidRDefault="00B067D3" w:rsidP="00B067D3">
      <w:pPr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  <w:lang w:val="es-AR"/>
        </w:rPr>
        <w:t>BIBLIOGRAFÍA AMPLIATORIA:</w:t>
      </w:r>
    </w:p>
    <w:p w:rsidR="00EE62F9" w:rsidRDefault="00EE62F9" w:rsidP="00EE62F9"/>
    <w:p w:rsidR="00B067D3" w:rsidRPr="00B067D3" w:rsidRDefault="00BE1C9E" w:rsidP="00B067D3">
      <w:pPr>
        <w:jc w:val="both"/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-</w:t>
      </w:r>
      <w:r>
        <w:rPr>
          <w:rFonts w:asciiTheme="minorHAnsi" w:eastAsiaTheme="minorHAnsi" w:hAnsiTheme="minorHAnsi"/>
          <w:bCs/>
          <w:color w:val="0D0D0D" w:themeColor="text1" w:themeTint="F2"/>
          <w:sz w:val="22"/>
          <w:szCs w:val="22"/>
          <w:lang w:val="es-AR" w:eastAsia="en-US"/>
        </w:rPr>
        <w:t>SANTILLÁN, L.“</w:t>
      </w:r>
      <w:r>
        <w:rPr>
          <w:rFonts w:asciiTheme="minorHAnsi" w:eastAsiaTheme="minorHAnsi" w:hAnsiTheme="minorHAnsi"/>
          <w:bCs/>
          <w:color w:val="0D0D0D" w:themeColor="text1" w:themeTint="F2"/>
          <w:sz w:val="22"/>
          <w:szCs w:val="22"/>
          <w:lang w:val="es-AR" w:eastAsia="en-US"/>
        </w:rPr>
        <w:t xml:space="preserve"> </w:t>
      </w:r>
      <w:r>
        <w:rPr>
          <w:rFonts w:asciiTheme="minorHAnsi" w:eastAsiaTheme="minorHAnsi" w:hAnsiTheme="minorHAnsi"/>
          <w:bCs/>
          <w:i/>
          <w:iCs/>
          <w:color w:val="0D0D0D" w:themeColor="text1" w:themeTint="F2"/>
          <w:sz w:val="22"/>
          <w:szCs w:val="22"/>
          <w:lang w:val="es-AR" w:eastAsia="en-US"/>
        </w:rPr>
        <w:t xml:space="preserve">Desigualdad, cultura y diversidad: conceptos que desafían hoy a la enseñanza. </w:t>
      </w:r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 xml:space="preserve">En </w:t>
      </w:r>
      <w:r>
        <w:rPr>
          <w:rFonts w:asciiTheme="minorHAnsi" w:eastAsiaTheme="minorHAnsi" w:hAnsiTheme="minorHAnsi"/>
          <w:i/>
          <w:iCs/>
          <w:color w:val="0D0D0D" w:themeColor="text1" w:themeTint="F2"/>
          <w:sz w:val="22"/>
          <w:szCs w:val="22"/>
          <w:lang w:val="es-AR" w:eastAsia="en-US"/>
        </w:rPr>
        <w:t>Ciudadanía para armar. Aportes para la formación ética y política</w:t>
      </w:r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 xml:space="preserve">.” G </w:t>
      </w:r>
      <w:proofErr w:type="spellStart"/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>Shujman</w:t>
      </w:r>
      <w:proofErr w:type="spellEnd"/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 xml:space="preserve">  e I. </w:t>
      </w:r>
      <w:proofErr w:type="spellStart"/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>Siede</w:t>
      </w:r>
      <w:proofErr w:type="spellEnd"/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 xml:space="preserve">. </w:t>
      </w:r>
      <w:proofErr w:type="spellStart"/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>Aique</w:t>
      </w:r>
      <w:proofErr w:type="spellEnd"/>
      <w:r>
        <w:rPr>
          <w:rFonts w:asciiTheme="minorHAnsi" w:eastAsiaTheme="minorHAnsi" w:hAnsiTheme="minorHAnsi"/>
          <w:color w:val="0D0D0D" w:themeColor="text1" w:themeTint="F2"/>
          <w:sz w:val="22"/>
          <w:szCs w:val="22"/>
          <w:lang w:val="es-AR" w:eastAsia="en-US"/>
        </w:rPr>
        <w:t xml:space="preserve"> Grupo Editor. Capítulo 6 Págs.133 a 156. 2007</w:t>
      </w:r>
    </w:p>
    <w:p w:rsidR="00A5620E" w:rsidRDefault="00054225" w:rsidP="00054225">
      <w:pPr>
        <w:keepNext/>
        <w:keepLines/>
        <w:spacing w:before="200"/>
        <w:outlineLvl w:val="4"/>
        <w:rPr>
          <w:rFonts w:asciiTheme="minorHAnsi" w:eastAsiaTheme="minorHAnsi" w:hAnsiTheme="minorHAnsi" w:cstheme="majorBidi"/>
          <w:color w:val="0D0D0D" w:themeColor="text1" w:themeTint="F2"/>
          <w:sz w:val="22"/>
          <w:szCs w:val="22"/>
          <w:lang w:val="es-AR" w:eastAsia="en-US"/>
        </w:rPr>
      </w:pPr>
      <w:r w:rsidRPr="00054225">
        <w:rPr>
          <w:rFonts w:asciiTheme="minorHAnsi" w:eastAsiaTheme="minorHAnsi" w:hAnsiTheme="minorHAnsi" w:cstheme="majorBidi"/>
          <w:bCs/>
          <w:color w:val="0D0D0D" w:themeColor="text1" w:themeTint="F2"/>
          <w:sz w:val="22"/>
          <w:szCs w:val="22"/>
          <w:lang w:val="es-AR" w:eastAsia="en-US"/>
        </w:rPr>
        <w:t xml:space="preserve">ZERBINO, M.” </w:t>
      </w:r>
      <w:r w:rsidRPr="00054225">
        <w:rPr>
          <w:rFonts w:asciiTheme="minorHAnsi" w:eastAsiaTheme="minorHAnsi" w:hAnsiTheme="minorHAnsi" w:cstheme="majorBidi"/>
          <w:color w:val="0D0D0D" w:themeColor="text1" w:themeTint="F2"/>
          <w:sz w:val="22"/>
          <w:szCs w:val="22"/>
          <w:lang w:val="es-AR" w:eastAsia="en-US"/>
        </w:rPr>
        <w:t>La escuela frente a la pobreza. Ecuaciones para educar”.</w:t>
      </w:r>
      <w:r w:rsidRPr="00054225">
        <w:rPr>
          <w:rFonts w:asciiTheme="minorHAnsi" w:eastAsiaTheme="minorHAnsi" w:hAnsiTheme="minorHAnsi" w:cstheme="majorBidi"/>
          <w:bCs/>
          <w:color w:val="0D0D0D" w:themeColor="text1" w:themeTint="F2"/>
          <w:sz w:val="22"/>
          <w:szCs w:val="22"/>
          <w:lang w:val="es-AR" w:eastAsia="en-US"/>
        </w:rPr>
        <w:t xml:space="preserve"> </w:t>
      </w:r>
      <w:r w:rsidRPr="00054225">
        <w:rPr>
          <w:rFonts w:asciiTheme="minorHAnsi" w:eastAsiaTheme="minorHAnsi" w:hAnsiTheme="minorHAnsi" w:cstheme="majorBidi"/>
          <w:color w:val="0D0D0D" w:themeColor="text1" w:themeTint="F2"/>
          <w:sz w:val="22"/>
          <w:szCs w:val="22"/>
          <w:lang w:val="es-AR" w:eastAsia="en-US"/>
        </w:rPr>
        <w:t>El Monitor de la Educación. Número 12. 5ta Época. Mayo-Julio 2007</w:t>
      </w:r>
      <w:r w:rsidRPr="00054225">
        <w:rPr>
          <w:rFonts w:asciiTheme="minorHAnsi" w:eastAsiaTheme="minorHAnsi" w:hAnsiTheme="minorHAnsi" w:cstheme="majorBidi"/>
          <w:bCs/>
          <w:color w:val="0D0D0D" w:themeColor="text1" w:themeTint="F2"/>
          <w:sz w:val="22"/>
          <w:szCs w:val="22"/>
          <w:lang w:val="es-AR" w:eastAsia="en-US"/>
        </w:rPr>
        <w:t xml:space="preserve">, disponible en </w:t>
      </w:r>
      <w:hyperlink r:id="rId10" w:history="1">
        <w:r w:rsidR="00A5620E" w:rsidRPr="00431F8D">
          <w:rPr>
            <w:rStyle w:val="Hipervnculo"/>
            <w:rFonts w:asciiTheme="minorHAnsi" w:eastAsiaTheme="minorHAnsi" w:hAnsiTheme="minorHAnsi" w:cstheme="majorBidi"/>
            <w:sz w:val="22"/>
            <w:szCs w:val="22"/>
            <w:lang w:val="es-AR" w:eastAsia="en-US"/>
          </w:rPr>
          <w:t>http://www.me.gov.ar/monitor/nro12/dossier3.htm</w:t>
        </w:r>
      </w:hyperlink>
    </w:p>
    <w:p w:rsidR="009D2246" w:rsidRDefault="009D2246" w:rsidP="00054225">
      <w:pPr>
        <w:keepNext/>
        <w:keepLines/>
        <w:spacing w:before="200"/>
        <w:outlineLvl w:val="4"/>
        <w:rPr>
          <w:rFonts w:asciiTheme="minorHAnsi" w:eastAsiaTheme="minorHAnsi" w:hAnsiTheme="minorHAnsi" w:cstheme="majorBidi"/>
          <w:color w:val="0D0D0D" w:themeColor="text1" w:themeTint="F2"/>
          <w:sz w:val="22"/>
          <w:szCs w:val="22"/>
          <w:lang w:val="es-AR" w:eastAsia="en-US"/>
        </w:rPr>
      </w:pPr>
      <w:bookmarkStart w:id="0" w:name="_GoBack"/>
      <w:bookmarkEnd w:id="0"/>
    </w:p>
    <w:p w:rsidR="00A5620E" w:rsidRDefault="00A5620E" w:rsidP="00A5620E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Film Radio Favela disponible en </w:t>
      </w:r>
      <w:hyperlink r:id="rId11" w:history="1">
        <w:r>
          <w:rPr>
            <w:rStyle w:val="Hipervnculo"/>
            <w:rFonts w:asciiTheme="minorHAnsi" w:hAnsiTheme="minorHAnsi"/>
            <w:color w:val="0D0D0D" w:themeColor="text1" w:themeTint="F2"/>
            <w:sz w:val="22"/>
            <w:szCs w:val="22"/>
          </w:rPr>
          <w:t>http://www.youtube.com/watch?v=qrjDinf9eRY</w:t>
        </w:r>
      </w:hyperlink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consultado 03/2014</w:t>
      </w:r>
    </w:p>
    <w:p w:rsidR="00B067D3" w:rsidRDefault="00B067D3" w:rsidP="00A5620E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B067D3" w:rsidRDefault="00B067D3" w:rsidP="00B067D3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Pierre Bourdieu-Capital cultural, disponible en </w:t>
      </w:r>
      <w:hyperlink r:id="rId12" w:history="1">
        <w:r>
          <w:rPr>
            <w:rStyle w:val="Hipervnculo"/>
            <w:rFonts w:asciiTheme="minorHAnsi" w:hAnsiTheme="minorHAnsi"/>
            <w:color w:val="0D0D0D" w:themeColor="text1" w:themeTint="F2"/>
            <w:sz w:val="22"/>
            <w:szCs w:val="22"/>
          </w:rPr>
          <w:t>http://www.youtube.com/watch?v=cJ4ru3tOEFM</w:t>
        </w:r>
      </w:hyperlink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:rsidR="00B067D3" w:rsidRDefault="00B067D3" w:rsidP="00B067D3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B067D3" w:rsidRDefault="00B067D3" w:rsidP="00B067D3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Graciela </w:t>
      </w:r>
      <w:proofErr w:type="spellStart"/>
      <w:r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Morgade</w:t>
      </w:r>
      <w:proofErr w:type="spellEnd"/>
      <w:r w:rsidRPr="00E36DE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   </w:t>
      </w:r>
      <w:hyperlink r:id="rId13" w:history="1">
        <w:r w:rsidRPr="00E36DE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s-AR" w:eastAsia="en-US"/>
          </w:rPr>
          <w:t>http://www.youtube.com/watch?v=18_wrI_LW0I</w:t>
        </w:r>
      </w:hyperlink>
    </w:p>
    <w:p w:rsidR="00A5620E" w:rsidRDefault="00A5620E" w:rsidP="00A5620E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B067D3" w:rsidRDefault="00B067D3" w:rsidP="00A5620E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A5620E" w:rsidRDefault="00A5620E" w:rsidP="00054225">
      <w:pPr>
        <w:keepNext/>
        <w:keepLines/>
        <w:spacing w:before="200"/>
        <w:outlineLvl w:val="4"/>
        <w:rPr>
          <w:rFonts w:asciiTheme="minorHAnsi" w:eastAsiaTheme="minorHAnsi" w:hAnsiTheme="minorHAnsi" w:cstheme="majorBidi"/>
          <w:bCs/>
          <w:color w:val="0D0D0D" w:themeColor="text1" w:themeTint="F2"/>
          <w:sz w:val="22"/>
          <w:szCs w:val="22"/>
          <w:lang w:val="es-AR" w:eastAsia="en-US"/>
        </w:rPr>
      </w:pPr>
    </w:p>
    <w:p w:rsidR="00A5620E" w:rsidRPr="00054225" w:rsidRDefault="00A5620E" w:rsidP="00054225">
      <w:pPr>
        <w:keepNext/>
        <w:keepLines/>
        <w:spacing w:before="200"/>
        <w:outlineLvl w:val="4"/>
        <w:rPr>
          <w:rFonts w:asciiTheme="minorHAnsi" w:eastAsiaTheme="minorHAnsi" w:hAnsiTheme="minorHAnsi" w:cstheme="majorBidi"/>
          <w:bCs/>
          <w:color w:val="0D0D0D" w:themeColor="text1" w:themeTint="F2"/>
          <w:sz w:val="22"/>
          <w:szCs w:val="22"/>
          <w:lang w:val="es-AR" w:eastAsia="en-US"/>
        </w:rPr>
      </w:pPr>
    </w:p>
    <w:p w:rsidR="00054225" w:rsidRPr="00054225" w:rsidRDefault="00054225" w:rsidP="00054225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EE62F9" w:rsidRDefault="00EE62F9" w:rsidP="00EE62F9"/>
    <w:p w:rsidR="00EE62F9" w:rsidRDefault="00EE62F9" w:rsidP="00EE62F9"/>
    <w:p w:rsidR="00EE62F9" w:rsidRDefault="00EE62F9" w:rsidP="00EE62F9"/>
    <w:p w:rsidR="00CA47FC" w:rsidRDefault="00CA47FC" w:rsidP="00EE62F9"/>
    <w:p w:rsidR="00CA47FC" w:rsidRDefault="00CA47FC" w:rsidP="00EE62F9"/>
    <w:p w:rsidR="00CA47FC" w:rsidRDefault="00CA47FC" w:rsidP="00EE62F9"/>
    <w:p w:rsidR="00CA47FC" w:rsidRDefault="00CA47FC" w:rsidP="00EE62F9"/>
    <w:p w:rsidR="00CA47FC" w:rsidRDefault="00CA47FC" w:rsidP="00EE62F9"/>
    <w:p w:rsidR="00CA47FC" w:rsidRDefault="00CA47FC" w:rsidP="00EE62F9"/>
    <w:p w:rsidR="00CA47FC" w:rsidRDefault="00CA47FC" w:rsidP="00EE62F9"/>
    <w:p w:rsidR="00EE62F9" w:rsidRDefault="00EE62F9" w:rsidP="00EE62F9"/>
    <w:p w:rsidR="00EE62F9" w:rsidRDefault="00EE62F9" w:rsidP="00EE62F9">
      <w:pPr>
        <w:rPr>
          <w:color w:val="000000" w:themeColor="text1"/>
          <w:sz w:val="22"/>
          <w:szCs w:val="22"/>
        </w:rPr>
      </w:pPr>
      <w:r>
        <w:t xml:space="preserve">                                                                                                      …………………………      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E62F9" w:rsidRDefault="00EE62F9" w:rsidP="00EE62F9">
      <w:pPr>
        <w:ind w:right="-142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Prof</w:t>
      </w:r>
      <w:r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Pauloski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,  Ma. Cecilia</w:t>
      </w:r>
    </w:p>
    <w:p w:rsidR="00EE62F9" w:rsidRDefault="00EE62F9" w:rsidP="00EE62F9"/>
    <w:p w:rsidR="002A5CFD" w:rsidRDefault="002A5CFD"/>
    <w:sectPr w:rsidR="002A5CFD" w:rsidSect="002A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B17"/>
    <w:multiLevelType w:val="hybridMultilevel"/>
    <w:tmpl w:val="D70ECD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2F9"/>
    <w:rsid w:val="00002F85"/>
    <w:rsid w:val="000058CC"/>
    <w:rsid w:val="0002229B"/>
    <w:rsid w:val="00050C71"/>
    <w:rsid w:val="00052A7A"/>
    <w:rsid w:val="00054225"/>
    <w:rsid w:val="00055D1D"/>
    <w:rsid w:val="000749BC"/>
    <w:rsid w:val="000911A6"/>
    <w:rsid w:val="000A4755"/>
    <w:rsid w:val="000C1471"/>
    <w:rsid w:val="000C1D06"/>
    <w:rsid w:val="000C5532"/>
    <w:rsid w:val="000C6AAF"/>
    <w:rsid w:val="000F1ACC"/>
    <w:rsid w:val="00107FDA"/>
    <w:rsid w:val="00134E5B"/>
    <w:rsid w:val="001421F7"/>
    <w:rsid w:val="00163B42"/>
    <w:rsid w:val="001829C0"/>
    <w:rsid w:val="00186A96"/>
    <w:rsid w:val="00187E35"/>
    <w:rsid w:val="00192D5C"/>
    <w:rsid w:val="001A15FB"/>
    <w:rsid w:val="001F2AD1"/>
    <w:rsid w:val="002343B1"/>
    <w:rsid w:val="002537FA"/>
    <w:rsid w:val="002554DA"/>
    <w:rsid w:val="00271E25"/>
    <w:rsid w:val="00282B3C"/>
    <w:rsid w:val="002902F4"/>
    <w:rsid w:val="00295434"/>
    <w:rsid w:val="002A5180"/>
    <w:rsid w:val="002A5CFD"/>
    <w:rsid w:val="002C189D"/>
    <w:rsid w:val="002F2732"/>
    <w:rsid w:val="0032581D"/>
    <w:rsid w:val="0037307A"/>
    <w:rsid w:val="003A543E"/>
    <w:rsid w:val="003A5774"/>
    <w:rsid w:val="003F09B7"/>
    <w:rsid w:val="00402024"/>
    <w:rsid w:val="00411B33"/>
    <w:rsid w:val="004178DC"/>
    <w:rsid w:val="00450F60"/>
    <w:rsid w:val="0047185E"/>
    <w:rsid w:val="00493E60"/>
    <w:rsid w:val="004B2A1D"/>
    <w:rsid w:val="004C5A04"/>
    <w:rsid w:val="004D0DDA"/>
    <w:rsid w:val="004E3B5B"/>
    <w:rsid w:val="004F2EEB"/>
    <w:rsid w:val="004F3FEF"/>
    <w:rsid w:val="004F43F5"/>
    <w:rsid w:val="004F7E1E"/>
    <w:rsid w:val="00500CA2"/>
    <w:rsid w:val="00510166"/>
    <w:rsid w:val="00522235"/>
    <w:rsid w:val="005303D2"/>
    <w:rsid w:val="0053659B"/>
    <w:rsid w:val="0055083A"/>
    <w:rsid w:val="00550B86"/>
    <w:rsid w:val="00560AEF"/>
    <w:rsid w:val="0057111C"/>
    <w:rsid w:val="00584F4B"/>
    <w:rsid w:val="005949DB"/>
    <w:rsid w:val="005F411C"/>
    <w:rsid w:val="006303CA"/>
    <w:rsid w:val="00645EA4"/>
    <w:rsid w:val="00656812"/>
    <w:rsid w:val="00673042"/>
    <w:rsid w:val="00682C2E"/>
    <w:rsid w:val="006A3050"/>
    <w:rsid w:val="006E61DF"/>
    <w:rsid w:val="006F0336"/>
    <w:rsid w:val="007104E2"/>
    <w:rsid w:val="00712B1B"/>
    <w:rsid w:val="00712B79"/>
    <w:rsid w:val="00715802"/>
    <w:rsid w:val="007169BA"/>
    <w:rsid w:val="007229FC"/>
    <w:rsid w:val="007266EF"/>
    <w:rsid w:val="007434A1"/>
    <w:rsid w:val="00773DC3"/>
    <w:rsid w:val="0077543B"/>
    <w:rsid w:val="00775B1B"/>
    <w:rsid w:val="00793FCA"/>
    <w:rsid w:val="007A3CBC"/>
    <w:rsid w:val="007D35AA"/>
    <w:rsid w:val="007E214B"/>
    <w:rsid w:val="00800312"/>
    <w:rsid w:val="00814DD0"/>
    <w:rsid w:val="008159A9"/>
    <w:rsid w:val="00842D2A"/>
    <w:rsid w:val="00847503"/>
    <w:rsid w:val="00850F03"/>
    <w:rsid w:val="0085158E"/>
    <w:rsid w:val="008524CF"/>
    <w:rsid w:val="0088687F"/>
    <w:rsid w:val="00894745"/>
    <w:rsid w:val="0089748C"/>
    <w:rsid w:val="0089774F"/>
    <w:rsid w:val="008B70DB"/>
    <w:rsid w:val="008F4F35"/>
    <w:rsid w:val="008F53C7"/>
    <w:rsid w:val="00904A0B"/>
    <w:rsid w:val="009078A7"/>
    <w:rsid w:val="00925D2A"/>
    <w:rsid w:val="009405DE"/>
    <w:rsid w:val="00955034"/>
    <w:rsid w:val="009806B0"/>
    <w:rsid w:val="0098429C"/>
    <w:rsid w:val="00996696"/>
    <w:rsid w:val="009A7EB8"/>
    <w:rsid w:val="009D2246"/>
    <w:rsid w:val="009E42DA"/>
    <w:rsid w:val="009E672D"/>
    <w:rsid w:val="009F2234"/>
    <w:rsid w:val="009F4FB6"/>
    <w:rsid w:val="00A02FD9"/>
    <w:rsid w:val="00A061ED"/>
    <w:rsid w:val="00A17141"/>
    <w:rsid w:val="00A1790C"/>
    <w:rsid w:val="00A46C0E"/>
    <w:rsid w:val="00A51DD8"/>
    <w:rsid w:val="00A523B8"/>
    <w:rsid w:val="00A53D4A"/>
    <w:rsid w:val="00A5620E"/>
    <w:rsid w:val="00A610F1"/>
    <w:rsid w:val="00A70EE9"/>
    <w:rsid w:val="00A7677A"/>
    <w:rsid w:val="00AA0CCC"/>
    <w:rsid w:val="00AD582E"/>
    <w:rsid w:val="00AF76EC"/>
    <w:rsid w:val="00AF7A46"/>
    <w:rsid w:val="00B067D3"/>
    <w:rsid w:val="00B14BAF"/>
    <w:rsid w:val="00B223B4"/>
    <w:rsid w:val="00B60A4D"/>
    <w:rsid w:val="00B7040C"/>
    <w:rsid w:val="00B728C4"/>
    <w:rsid w:val="00B91A8B"/>
    <w:rsid w:val="00BE1C9E"/>
    <w:rsid w:val="00BF3D5C"/>
    <w:rsid w:val="00C12C47"/>
    <w:rsid w:val="00C15159"/>
    <w:rsid w:val="00C23312"/>
    <w:rsid w:val="00C360CF"/>
    <w:rsid w:val="00C366A7"/>
    <w:rsid w:val="00C43083"/>
    <w:rsid w:val="00C44E6F"/>
    <w:rsid w:val="00C618FB"/>
    <w:rsid w:val="00C84D74"/>
    <w:rsid w:val="00C9606E"/>
    <w:rsid w:val="00CA47FC"/>
    <w:rsid w:val="00CB169F"/>
    <w:rsid w:val="00CC093B"/>
    <w:rsid w:val="00CC137C"/>
    <w:rsid w:val="00CC37C5"/>
    <w:rsid w:val="00CC4912"/>
    <w:rsid w:val="00CD0105"/>
    <w:rsid w:val="00CD3A6F"/>
    <w:rsid w:val="00D07825"/>
    <w:rsid w:val="00D47ABF"/>
    <w:rsid w:val="00D60AA3"/>
    <w:rsid w:val="00D62260"/>
    <w:rsid w:val="00D670AC"/>
    <w:rsid w:val="00D72D8E"/>
    <w:rsid w:val="00D86F88"/>
    <w:rsid w:val="00DD3437"/>
    <w:rsid w:val="00DD7C43"/>
    <w:rsid w:val="00DD7CD8"/>
    <w:rsid w:val="00DE1C01"/>
    <w:rsid w:val="00E062B3"/>
    <w:rsid w:val="00E201CC"/>
    <w:rsid w:val="00E30AAF"/>
    <w:rsid w:val="00E36DEA"/>
    <w:rsid w:val="00E6744F"/>
    <w:rsid w:val="00E8612E"/>
    <w:rsid w:val="00EA3A96"/>
    <w:rsid w:val="00EA4F3A"/>
    <w:rsid w:val="00EC2E5F"/>
    <w:rsid w:val="00EC4D6E"/>
    <w:rsid w:val="00EE62F9"/>
    <w:rsid w:val="00F011C4"/>
    <w:rsid w:val="00F12527"/>
    <w:rsid w:val="00F224C6"/>
    <w:rsid w:val="00F4391A"/>
    <w:rsid w:val="00F46DAB"/>
    <w:rsid w:val="00F52C3F"/>
    <w:rsid w:val="00F7025F"/>
    <w:rsid w:val="00F71779"/>
    <w:rsid w:val="00F741A7"/>
    <w:rsid w:val="00F9283B"/>
    <w:rsid w:val="00FC082F"/>
    <w:rsid w:val="00FC25EE"/>
    <w:rsid w:val="00FD5A2C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0367"/>
  <w15:docId w15:val="{46F784BB-5F19-48C5-96B6-C2490462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62F9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EE62F9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04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Mencionar">
    <w:name w:val="Mention"/>
    <w:basedOn w:val="Fuentedeprrafopredeter"/>
    <w:uiPriority w:val="99"/>
    <w:semiHidden/>
    <w:unhideWhenUsed/>
    <w:rsid w:val="00A562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EWaYHa6k4I" TargetMode="External"/><Relationship Id="rId13" Type="http://schemas.openxmlformats.org/officeDocument/2006/relationships/hyperlink" Target="http://www.youtube.com/watch?v=18_wrI_LW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q9XdYPfZWc" TargetMode="External"/><Relationship Id="rId12" Type="http://schemas.openxmlformats.org/officeDocument/2006/relationships/hyperlink" Target="http://www.youtube.com/watch?v=cJ4ru3tOE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BkO_wjL-LM" TargetMode="External"/><Relationship Id="rId11" Type="http://schemas.openxmlformats.org/officeDocument/2006/relationships/hyperlink" Target="http://www.youtube.com/watch?v=qrjDinf9eRY" TargetMode="External"/><Relationship Id="rId5" Type="http://schemas.openxmlformats.org/officeDocument/2006/relationships/hyperlink" Target="http://www.youtube.com/watch?v=pse3qDHB964&amp;feature=player_detailp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.gov.ar/monitor/nro12/dossier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gPdu2_V-z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1807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Minici</cp:lastModifiedBy>
  <cp:revision>29</cp:revision>
  <dcterms:created xsi:type="dcterms:W3CDTF">2017-04-27T23:54:00Z</dcterms:created>
  <dcterms:modified xsi:type="dcterms:W3CDTF">2017-05-08T19:01:00Z</dcterms:modified>
</cp:coreProperties>
</file>