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E4" w:rsidRDefault="00214EE4" w:rsidP="00214EE4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pt-PT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E774D1" wp14:editId="087968A5">
            <wp:simplePos x="0" y="0"/>
            <wp:positionH relativeFrom="margin">
              <wp:posOffset>2157095</wp:posOffset>
            </wp:positionH>
            <wp:positionV relativeFrom="margin">
              <wp:posOffset>-400050</wp:posOffset>
            </wp:positionV>
            <wp:extent cx="1103630" cy="798830"/>
            <wp:effectExtent l="0" t="0" r="127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EE4" w:rsidRDefault="00214EE4" w:rsidP="00214EE4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pt-PT" w:eastAsia="es-ES"/>
        </w:rPr>
      </w:pPr>
    </w:p>
    <w:p w:rsidR="00214EE4" w:rsidRDefault="00214EE4" w:rsidP="00214EE4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pt-PT" w:eastAsia="es-ES"/>
        </w:rPr>
      </w:pPr>
    </w:p>
    <w:p w:rsidR="00214EE4" w:rsidRPr="00214EE4" w:rsidRDefault="00214EE4" w:rsidP="00214EE4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pt-PT" w:eastAsia="es-ES"/>
        </w:rPr>
      </w:pPr>
      <w:r w:rsidRPr="00214EE4"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pt-PT" w:eastAsia="es-ES"/>
        </w:rPr>
        <w:t>Instituto Superior de Profesorado N° 7</w:t>
      </w:r>
      <w:r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pt-PT" w:eastAsia="es-ES"/>
        </w:rPr>
        <w:t xml:space="preserve">, “Brigadier Estanislao </w:t>
      </w:r>
      <w:r w:rsidRPr="00214EE4"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es-AR" w:eastAsia="es-ES"/>
        </w:rPr>
        <w:t>López</w:t>
      </w:r>
      <w:proofErr w:type="gramStart"/>
      <w:r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pt-PT" w:eastAsia="es-ES"/>
        </w:rPr>
        <w:t>”</w:t>
      </w:r>
      <w:proofErr w:type="gramEnd"/>
      <w:r w:rsidRPr="00214EE4">
        <w:rPr>
          <w:rFonts w:ascii="High Tower Text" w:eastAsia="Times New Roman" w:hAnsi="High Tower Text" w:cs="Times New Roman"/>
          <w:b/>
          <w:color w:val="000000"/>
          <w:sz w:val="24"/>
          <w:szCs w:val="24"/>
          <w:lang w:val="pt-PT" w:eastAsia="es-ES"/>
        </w:rPr>
        <w:t xml:space="preserve">             </w:t>
      </w:r>
    </w:p>
    <w:p w:rsidR="00214EE4" w:rsidRPr="00214EE4" w:rsidRDefault="00214EE4" w:rsidP="00214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s-ES"/>
        </w:rPr>
      </w:pPr>
    </w:p>
    <w:p w:rsidR="00214EE4" w:rsidRPr="00214EE4" w:rsidRDefault="00214EE4" w:rsidP="009641B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  <w:lang w:val="pt-PT" w:eastAsia="es-ES"/>
        </w:rPr>
      </w:pPr>
      <w:r w:rsidRPr="00214EE4">
        <w:rPr>
          <w:rFonts w:ascii="Cambria" w:eastAsia="Times New Roman" w:hAnsi="Cambria" w:cs="Times New Roman"/>
          <w:b/>
          <w:color w:val="000000"/>
          <w:sz w:val="32"/>
          <w:szCs w:val="32"/>
          <w:lang w:val="pt-PT" w:eastAsia="es-ES"/>
        </w:rPr>
        <w:t>PROGRAMA DE EXAMEN</w:t>
      </w:r>
    </w:p>
    <w:p w:rsidR="00214EE4" w:rsidRPr="00214EE4" w:rsidRDefault="00214EE4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  <w:u w:val="single"/>
          <w:lang w:val="pt-PT" w:eastAsia="es-ES"/>
        </w:rPr>
      </w:pPr>
    </w:p>
    <w:p w:rsidR="00214EE4" w:rsidRPr="00214EE4" w:rsidRDefault="00214EE4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pt-PT" w:eastAsia="es-ES"/>
        </w:rPr>
      </w:pPr>
      <w:r w:rsidRPr="00214EE4">
        <w:rPr>
          <w:rFonts w:ascii="Cambria" w:eastAsia="Times New Roman" w:hAnsi="Cambria" w:cs="Times New Roman"/>
          <w:b/>
          <w:color w:val="000000"/>
          <w:sz w:val="24"/>
          <w:szCs w:val="24"/>
          <w:lang w:val="pt-PT" w:eastAsia="es-ES"/>
        </w:rPr>
        <w:t>ESPACIO CURRICULAR: E.D.I. I</w:t>
      </w:r>
    </w:p>
    <w:p w:rsidR="00214EE4" w:rsidRPr="00214EE4" w:rsidRDefault="00214EE4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pt-PT" w:eastAsia="es-ES"/>
        </w:rPr>
      </w:pPr>
      <w:r w:rsidRPr="00214EE4">
        <w:rPr>
          <w:rFonts w:ascii="Cambria" w:eastAsia="Times New Roman" w:hAnsi="Cambria" w:cs="Times New Roman"/>
          <w:b/>
          <w:color w:val="000000"/>
          <w:sz w:val="24"/>
          <w:szCs w:val="24"/>
          <w:lang w:val="pt-PT" w:eastAsia="es-ES"/>
        </w:rPr>
        <w:t>PRIMER AÑO</w:t>
      </w:r>
    </w:p>
    <w:p w:rsidR="00214EE4" w:rsidRPr="00214EE4" w:rsidRDefault="00214EE4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es-ES"/>
        </w:rPr>
      </w:pPr>
      <w:r w:rsidRPr="00214EE4">
        <w:rPr>
          <w:rFonts w:ascii="Cambria" w:eastAsia="Times New Roman" w:hAnsi="Cambria" w:cs="Times New Roman"/>
          <w:b/>
          <w:color w:val="000000"/>
          <w:sz w:val="24"/>
          <w:szCs w:val="24"/>
          <w:lang w:eastAsia="es-ES"/>
        </w:rPr>
        <w:t>PROFESORADO DE ARTE EN ARTES VISUALES</w:t>
      </w:r>
    </w:p>
    <w:p w:rsidR="00214EE4" w:rsidRPr="00214EE4" w:rsidRDefault="00214EE4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es-ES"/>
        </w:rPr>
      </w:pPr>
      <w:r w:rsidRPr="00214EE4">
        <w:rPr>
          <w:rFonts w:ascii="Cambria" w:eastAsia="Times New Roman" w:hAnsi="Cambria" w:cs="Times New Roman"/>
          <w:b/>
          <w:color w:val="000000"/>
          <w:sz w:val="24"/>
          <w:szCs w:val="24"/>
          <w:lang w:eastAsia="es-ES"/>
        </w:rPr>
        <w:t>PROFESORA: LIC. ANA M. GONZÁLEZ</w:t>
      </w:r>
    </w:p>
    <w:p w:rsidR="00214EE4" w:rsidRPr="00214EE4" w:rsidRDefault="00214EE4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es-ES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es-ES"/>
        </w:rPr>
        <w:t>AÑO: 2014</w:t>
      </w:r>
    </w:p>
    <w:p w:rsidR="00214EE4" w:rsidRPr="00214EE4" w:rsidRDefault="00214EE4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es-ES"/>
        </w:rPr>
      </w:pPr>
    </w:p>
    <w:p w:rsidR="00214EE4" w:rsidRPr="009641B2" w:rsidRDefault="00214EE4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s-ES"/>
        </w:rPr>
      </w:pPr>
      <w:r w:rsidRPr="00214EE4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s-ES"/>
        </w:rPr>
        <w:t>CONTENIDOS:</w:t>
      </w:r>
    </w:p>
    <w:p w:rsidR="009641B2" w:rsidRDefault="009641B2" w:rsidP="00214EE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es-ES"/>
        </w:rPr>
      </w:pPr>
    </w:p>
    <w:p w:rsidR="009641B2" w:rsidRPr="00214EE4" w:rsidRDefault="009641B2" w:rsidP="009641B2">
      <w:pPr>
        <w:spacing w:after="0" w:line="240" w:lineRule="auto"/>
        <w:jc w:val="both"/>
        <w:rPr>
          <w:rFonts w:ascii="Elephant" w:eastAsia="Times New Roman" w:hAnsi="Elephant" w:cs="Times New Roman"/>
          <w:b/>
          <w:color w:val="000000"/>
          <w:sz w:val="24"/>
          <w:szCs w:val="24"/>
          <w:u w:val="single"/>
          <w:lang w:eastAsia="es-ES"/>
        </w:rPr>
      </w:pPr>
    </w:p>
    <w:p w:rsidR="00214EE4" w:rsidRPr="00214EE4" w:rsidRDefault="009641B2" w:rsidP="00214EE4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s-ES"/>
        </w:rPr>
      </w:pPr>
      <w:r w:rsidRPr="009641B2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s-ES"/>
        </w:rPr>
        <w:t>MÓDULO I:</w:t>
      </w:r>
    </w:p>
    <w:p w:rsidR="00214EE4" w:rsidRDefault="00214EE4" w:rsidP="00214EE4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</w:pPr>
      <w:r w:rsidRPr="00214EE4"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  <w:t>La imagen como saber pedagógico. El lenguaje visual: la polisemia, el poder de las imágenes, la relación entre palabras e imágenes, la relación entre ver y saber. ¿Es posible enseñar y aprender a mirar? Cómo se ha enseñado a mirar imágenes en la escuela. El saber pedagógico en las imágenes y las imágenes en el saber pedagógico. Las nuevas alfabetizaciones.</w:t>
      </w:r>
    </w:p>
    <w:p w:rsidR="009641B2" w:rsidRDefault="009641B2" w:rsidP="009641B2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</w:pPr>
    </w:p>
    <w:p w:rsidR="009641B2" w:rsidRPr="00214EE4" w:rsidRDefault="009641B2" w:rsidP="009641B2">
      <w:pPr>
        <w:autoSpaceDE w:val="0"/>
        <w:autoSpaceDN w:val="0"/>
        <w:adjustRightInd w:val="0"/>
        <w:spacing w:before="120" w:after="0" w:line="360" w:lineRule="auto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s-ES"/>
        </w:rPr>
      </w:pPr>
      <w:r w:rsidRPr="009641B2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s-ES"/>
        </w:rPr>
        <w:t>MÓDULO II:</w:t>
      </w:r>
    </w:p>
    <w:p w:rsidR="00214EE4" w:rsidRDefault="00214EE4" w:rsidP="009641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</w:pPr>
      <w:r w:rsidRPr="009641B2"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  <w:t>El cine: sus orígenes.  El lenguaje del cine: la puesta en cuadro (planos, movimientos de cámara, metáforas visuales, visión y puntos de vista); la puesta en serie (fundido a negro, corte directo, barrido, iris); bandas sonoras. La música en el cine.</w:t>
      </w:r>
      <w:r w:rsidR="000F41B5"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  <w:t xml:space="preserve"> </w:t>
      </w:r>
    </w:p>
    <w:p w:rsidR="009641B2" w:rsidRPr="009641B2" w:rsidRDefault="009641B2" w:rsidP="009641B2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s-ES"/>
        </w:rPr>
      </w:pPr>
      <w:r w:rsidRPr="009641B2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  <w:lang w:eastAsia="es-ES"/>
        </w:rPr>
        <w:t>MÓDULO III:</w:t>
      </w:r>
    </w:p>
    <w:p w:rsidR="00214EE4" w:rsidRPr="00214EE4" w:rsidRDefault="00214EE4" w:rsidP="00214EE4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</w:pPr>
      <w:r w:rsidRPr="00214EE4"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  <w:t xml:space="preserve">La televisión: el discurso televisivo, formatos, audiencias, la representación de la realidad. Lenguaje y televisión.  Hiperestimulación sensorial, el fenómeno del </w:t>
      </w:r>
      <w:r w:rsidRPr="00214EE4">
        <w:rPr>
          <w:rFonts w:ascii="Cambria" w:eastAsia="Times New Roman" w:hAnsi="Cambria" w:cs="Times New Roman"/>
          <w:i/>
          <w:color w:val="000000"/>
          <w:sz w:val="24"/>
          <w:szCs w:val="24"/>
          <w:lang w:eastAsia="es-ES"/>
        </w:rPr>
        <w:t>zapping</w:t>
      </w:r>
      <w:r w:rsidRPr="00214EE4">
        <w:rPr>
          <w:rFonts w:ascii="Cambria" w:eastAsia="Times New Roman" w:hAnsi="Cambria" w:cs="Times New Roman"/>
          <w:color w:val="000000"/>
          <w:sz w:val="24"/>
          <w:szCs w:val="24"/>
          <w:lang w:eastAsia="es-ES"/>
        </w:rPr>
        <w:t>, visión fragmentada de la realidad, la cultura mosaico, gratificación. Educación y Televisión. Orígenes de la televisión argentina.</w:t>
      </w:r>
    </w:p>
    <w:p w:rsidR="009641B2" w:rsidRDefault="009641B2" w:rsidP="00214EE4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es-ES"/>
        </w:rPr>
      </w:pPr>
    </w:p>
    <w:p w:rsidR="009641B2" w:rsidRDefault="009641B2" w:rsidP="00214EE4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es-ES"/>
        </w:rPr>
      </w:pPr>
    </w:p>
    <w:p w:rsidR="00214EE4" w:rsidRPr="00214EE4" w:rsidRDefault="00214EE4" w:rsidP="00214EE4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es-ES"/>
        </w:rPr>
      </w:pPr>
      <w:r w:rsidRPr="00214EE4">
        <w:rPr>
          <w:rFonts w:ascii="Cambria" w:eastAsia="Times New Roman" w:hAnsi="Cambria" w:cs="Times New Roman"/>
          <w:b/>
          <w:color w:val="000000"/>
          <w:u w:val="single"/>
          <w:lang w:eastAsia="es-ES"/>
        </w:rPr>
        <w:lastRenderedPageBreak/>
        <w:t>BIBLIOGRAFÍA:</w:t>
      </w:r>
    </w:p>
    <w:p w:rsidR="00214EE4" w:rsidRPr="00214EE4" w:rsidRDefault="00214EE4" w:rsidP="0021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ABRAMOWSKI, ANA (2010).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La escuela y las imágenes: variaciones de una vieja relación.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 INFOD.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ABRAMOWSKI, ANA.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El lenguaje de las imágenes y la escuela: ¿es posible enseñar y aprender a mirar?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>Proyecto Tramas. FLACSO.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ARFUCH, LEONOR.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La imagen: poderes y violencias.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>Proyecto Tramas. FLACSO.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 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AUGUSTOWSKY, GABRIELA (2008). 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Enseñar a mirar imágenes.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>Serie Respuestas. Tinta Fresca, Buenos Aires.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Times New Roman"/>
          <w:b/>
          <w:color w:val="000000"/>
          <w:lang w:eastAsia="es-ES"/>
        </w:rPr>
        <w:t xml:space="preserve">DUSSEL, INÉS / SOUTHWELL, MYRIAM. </w:t>
      </w:r>
      <w:r w:rsidRPr="00214EE4">
        <w:rPr>
          <w:rFonts w:ascii="Cambria" w:eastAsia="Times New Roman" w:hAnsi="Cambria" w:cs="Times New Roman"/>
          <w:b/>
          <w:i/>
          <w:color w:val="000000"/>
          <w:lang w:eastAsia="es-ES"/>
        </w:rPr>
        <w:t xml:space="preserve">La escuela y las nuevas alfabetizaciones. </w:t>
      </w:r>
      <w:r w:rsidRPr="00214EE4">
        <w:rPr>
          <w:rFonts w:ascii="Cambria" w:eastAsia="Times New Roman" w:hAnsi="Cambria" w:cs="Times New Roman"/>
          <w:b/>
          <w:color w:val="000000"/>
          <w:lang w:eastAsia="es-ES"/>
        </w:rPr>
        <w:t xml:space="preserve"> Dossier.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Times New Roman"/>
          <w:b/>
          <w:color w:val="000000"/>
          <w:lang w:val="it-IT" w:eastAsia="es-ES"/>
        </w:rPr>
        <w:t xml:space="preserve">EMILIOZZI, IRMA (2003). </w:t>
      </w:r>
      <w:r w:rsidRPr="00214EE4">
        <w:rPr>
          <w:rFonts w:ascii="Cambria" w:eastAsia="Times New Roman" w:hAnsi="Cambria" w:cs="Times New Roman"/>
          <w:b/>
          <w:i/>
          <w:color w:val="000000"/>
          <w:lang w:val="it-IT" w:eastAsia="es-ES"/>
        </w:rPr>
        <w:t xml:space="preserve">La aventura textual. </w:t>
      </w:r>
      <w:r w:rsidRPr="00214EE4">
        <w:rPr>
          <w:rFonts w:ascii="Cambria" w:eastAsia="Times New Roman" w:hAnsi="Cambria" w:cs="Times New Roman"/>
          <w:b/>
          <w:i/>
          <w:color w:val="000000"/>
          <w:lang w:eastAsia="es-ES"/>
        </w:rPr>
        <w:t>De la lengua a los nuevos lenguajes.</w:t>
      </w:r>
      <w:r w:rsidRPr="00214EE4">
        <w:rPr>
          <w:rFonts w:ascii="Cambria" w:eastAsia="Times New Roman" w:hAnsi="Cambria" w:cs="Times New Roman"/>
          <w:b/>
          <w:color w:val="000000"/>
          <w:lang w:eastAsia="es-ES"/>
        </w:rPr>
        <w:t xml:space="preserve"> Buenos, Aires, Ediciones La Crujía. (Capítulo: “El lenguaje del cine”).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FERRÉS, JOAN (1994).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Televisión y educación.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Editorial Paidós Ibérica. 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FERRÉS, JOAN (1995).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Televisión, espectáculo y educación.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Comunicar N° 4, </w:t>
      </w:r>
      <w:r w:rsidRPr="00214EE4">
        <w:rPr>
          <w:rFonts w:ascii="Cambria" w:eastAsia="Times New Roman" w:hAnsi="Cambria" w:cs="Arial"/>
          <w:b/>
          <w:color w:val="000000"/>
          <w:lang w:eastAsia="es-ES"/>
        </w:rPr>
        <w:t>Revista Científica Iberoamericana de Comunicación y Educación.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KLAUS RUNGE PEÑA, ANDRÉS.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El saber pedagógico en las imágenes y las imágenes en el saber pedagógico.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>FLACSO.</w:t>
      </w:r>
    </w:p>
    <w:p w:rsidR="00214EE4" w:rsidRPr="000F41B5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MANGUEL. ALBERTO (2005).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Una historia de la lectura.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>EMECÉ, Buenos Aires.</w:t>
      </w:r>
    </w:p>
    <w:p w:rsidR="000F41B5" w:rsidRPr="00214EE4" w:rsidRDefault="000F41B5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color w:val="000000"/>
          <w:lang w:eastAsia="es-ES"/>
        </w:rPr>
      </w:pPr>
      <w:r>
        <w:rPr>
          <w:rFonts w:ascii="Cambria" w:eastAsia="Times New Roman" w:hAnsi="Cambria" w:cs="DejaVuSans"/>
          <w:b/>
          <w:color w:val="000000"/>
          <w:lang w:eastAsia="es-ES"/>
        </w:rPr>
        <w:t xml:space="preserve">MOUËLLIC, GILLES (2011). </w:t>
      </w:r>
      <w:r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La música en el cine. </w:t>
      </w:r>
      <w:r>
        <w:rPr>
          <w:rFonts w:ascii="Cambria" w:eastAsia="Times New Roman" w:hAnsi="Cambria" w:cs="DejaVuSans"/>
          <w:b/>
          <w:color w:val="000000"/>
          <w:lang w:eastAsia="es-ES"/>
        </w:rPr>
        <w:t xml:space="preserve"> Paidós, Madrid, España.</w:t>
      </w:r>
    </w:p>
    <w:p w:rsidR="00214EE4" w:rsidRPr="00214EE4" w:rsidRDefault="00214EE4" w:rsidP="00214EE4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i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 xml:space="preserve">VARELA, MIRTA (1998). </w:t>
      </w:r>
      <w:r w:rsidRPr="00214EE4">
        <w:rPr>
          <w:rFonts w:ascii="Cambria" w:eastAsia="Times New Roman" w:hAnsi="Cambria" w:cs="DejaVuSans"/>
          <w:b/>
          <w:i/>
          <w:color w:val="000000"/>
          <w:lang w:eastAsia="es-ES"/>
        </w:rPr>
        <w:t xml:space="preserve">Los comienzos de la televisión argentina en el contexto latinoamericano.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>FACULTAD DE CIENCIAS SOCIALES / FACULTAD DE FILOSOFÍA Y LETRAS. U.</w:t>
      </w:r>
      <w:r w:rsidRPr="00214EE4">
        <w:rPr>
          <w:rFonts w:ascii="Century Schoolbook" w:eastAsia="Times New Roman" w:hAnsi="Century Schoolbook" w:cs="DejaVuSans"/>
          <w:b/>
          <w:color w:val="000000"/>
          <w:lang w:eastAsia="es-ES"/>
        </w:rPr>
        <w:t xml:space="preserve"> </w:t>
      </w:r>
      <w:r w:rsidRPr="00214EE4">
        <w:rPr>
          <w:rFonts w:ascii="Cambria" w:eastAsia="Times New Roman" w:hAnsi="Cambria" w:cs="DejaVuSans"/>
          <w:b/>
          <w:color w:val="000000"/>
          <w:lang w:eastAsia="es-ES"/>
        </w:rPr>
        <w:t>B. A.</w:t>
      </w:r>
    </w:p>
    <w:p w:rsidR="00507443" w:rsidRDefault="00214EE4" w:rsidP="00507443">
      <w:pPr>
        <w:numPr>
          <w:ilvl w:val="1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b/>
          <w:i/>
          <w:color w:val="000000"/>
          <w:lang w:eastAsia="es-ES"/>
        </w:rPr>
      </w:pPr>
      <w:r w:rsidRPr="00214EE4">
        <w:rPr>
          <w:rFonts w:ascii="Cambria" w:eastAsia="Times New Roman" w:hAnsi="Cambria" w:cs="DejaVuSans"/>
          <w:b/>
          <w:color w:val="000000"/>
          <w:lang w:eastAsia="es-ES"/>
        </w:rPr>
        <w:t>Material de cátedra: el lenguaje televisivo.</w:t>
      </w:r>
    </w:p>
    <w:p w:rsidR="00507443" w:rsidRDefault="00507443" w:rsidP="00507443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mbria" w:eastAsia="Times New Roman" w:hAnsi="Cambria" w:cs="DejaVuSans"/>
          <w:b/>
          <w:i/>
          <w:color w:val="000000"/>
          <w:lang w:eastAsia="es-ES"/>
        </w:rPr>
      </w:pPr>
    </w:p>
    <w:p w:rsidR="00507443" w:rsidRDefault="00507443" w:rsidP="00507443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mbria" w:eastAsia="Times New Roman" w:hAnsi="Cambria" w:cs="DejaVuSans"/>
          <w:b/>
          <w:color w:val="000000"/>
          <w:u w:val="single"/>
          <w:lang w:eastAsia="es-ES"/>
        </w:rPr>
      </w:pPr>
      <w:r>
        <w:rPr>
          <w:rFonts w:ascii="Cambria" w:eastAsia="Times New Roman" w:hAnsi="Cambria" w:cs="DejaVuSans"/>
          <w:b/>
          <w:color w:val="000000"/>
          <w:u w:val="single"/>
          <w:lang w:eastAsia="es-ES"/>
        </w:rPr>
        <w:t>REQUISITOS DE REGULARIZACIÓN Y APROBACIÓN DEL ESPACIO CURRICULAR:</w:t>
      </w:r>
    </w:p>
    <w:p w:rsidR="00507443" w:rsidRDefault="00507443" w:rsidP="00507443">
      <w:pPr>
        <w:autoSpaceDE w:val="0"/>
        <w:autoSpaceDN w:val="0"/>
        <w:adjustRightInd w:val="0"/>
        <w:spacing w:before="120" w:after="0" w:line="360" w:lineRule="auto"/>
        <w:ind w:left="357" w:firstLine="709"/>
        <w:jc w:val="both"/>
        <w:rPr>
          <w:rFonts w:ascii="Cambria" w:eastAsia="Times New Roman" w:hAnsi="Cambria" w:cs="DejaVuSans"/>
          <w:color w:val="000000" w:themeColor="text1"/>
          <w:lang w:eastAsia="es-ES"/>
        </w:rPr>
      </w:pPr>
      <w:r w:rsidRPr="00507443">
        <w:rPr>
          <w:rFonts w:ascii="Cambria" w:eastAsia="Times New Roman" w:hAnsi="Cambria" w:cs="DejaVuSans"/>
          <w:color w:val="000000" w:themeColor="text1"/>
          <w:lang w:eastAsia="es-ES"/>
        </w:rPr>
        <w:t>Los a</w:t>
      </w:r>
      <w:r>
        <w:rPr>
          <w:rFonts w:ascii="Cambria" w:eastAsia="Times New Roman" w:hAnsi="Cambria" w:cs="DejaVuSans"/>
          <w:color w:val="000000" w:themeColor="text1"/>
          <w:lang w:eastAsia="es-ES"/>
        </w:rPr>
        <w:t>lumnos/as deben cumplimentar</w:t>
      </w:r>
      <w:r w:rsidRPr="00507443">
        <w:rPr>
          <w:rFonts w:ascii="Cambria" w:eastAsia="Times New Roman" w:hAnsi="Cambria" w:cs="DejaVuSans"/>
          <w:color w:val="000000" w:themeColor="text1"/>
          <w:lang w:eastAsia="es-ES"/>
        </w:rPr>
        <w:t xml:space="preserve"> los siguientes requisitos</w:t>
      </w:r>
      <w:r>
        <w:rPr>
          <w:rFonts w:ascii="Cambria" w:eastAsia="Times New Roman" w:hAnsi="Cambria" w:cs="DejaVuSans"/>
          <w:color w:val="000000" w:themeColor="text1"/>
          <w:lang w:eastAsia="es-ES"/>
        </w:rPr>
        <w:t xml:space="preserve"> e instancias para regularizar y aprobar la materia:</w:t>
      </w:r>
    </w:p>
    <w:p w:rsidR="00507443" w:rsidRDefault="00507443" w:rsidP="005074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color w:val="000000" w:themeColor="text1"/>
          <w:lang w:eastAsia="es-ES"/>
        </w:rPr>
      </w:pPr>
      <w:r>
        <w:rPr>
          <w:rFonts w:ascii="Cambria" w:eastAsia="Times New Roman" w:hAnsi="Cambria" w:cs="DejaVuSans"/>
          <w:color w:val="000000" w:themeColor="text1"/>
          <w:lang w:eastAsia="es-ES"/>
        </w:rPr>
        <w:t>Asistencia: de un 75 % (mínimo).</w:t>
      </w:r>
    </w:p>
    <w:p w:rsidR="00507443" w:rsidRDefault="00507443" w:rsidP="005074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color w:val="000000" w:themeColor="text1"/>
          <w:lang w:eastAsia="es-ES"/>
        </w:rPr>
      </w:pPr>
      <w:r>
        <w:rPr>
          <w:rFonts w:ascii="Cambria" w:eastAsia="Times New Roman" w:hAnsi="Cambria" w:cs="DejaVuSans"/>
          <w:color w:val="000000" w:themeColor="text1"/>
          <w:lang w:eastAsia="es-ES"/>
        </w:rPr>
        <w:lastRenderedPageBreak/>
        <w:t>Presentación y aprobación de los trabajos requeridos. Aquellos/as alumnos/as que reúnan estos requisitos pueden acceder a la defensa oral de sus trabajos y a la aprobación final de la materia.</w:t>
      </w:r>
    </w:p>
    <w:p w:rsidR="00507443" w:rsidRDefault="00507443" w:rsidP="005074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DejaVuSans"/>
          <w:color w:val="000000" w:themeColor="text1"/>
          <w:lang w:eastAsia="es-ES"/>
        </w:rPr>
      </w:pPr>
      <w:r>
        <w:rPr>
          <w:rFonts w:ascii="Cambria" w:eastAsia="Times New Roman" w:hAnsi="Cambria" w:cs="DejaVuSans"/>
          <w:color w:val="000000" w:themeColor="text1"/>
          <w:lang w:eastAsia="es-ES"/>
        </w:rPr>
        <w:t xml:space="preserve">Los alumnos/as que no cumplimenten lo anteriormente detallado deben rendir en mesa de examen, en condición de alumnos libres (examen escrito y oral) en los llamados de diciembre del 2014 o marzo del 2015. </w:t>
      </w:r>
      <w:bookmarkStart w:id="0" w:name="_GoBack"/>
      <w:bookmarkEnd w:id="0"/>
    </w:p>
    <w:p w:rsidR="00507443" w:rsidRDefault="00507443" w:rsidP="00507443">
      <w:pPr>
        <w:pStyle w:val="Prrafodelista"/>
        <w:autoSpaceDE w:val="0"/>
        <w:autoSpaceDN w:val="0"/>
        <w:adjustRightInd w:val="0"/>
        <w:spacing w:before="120" w:after="0" w:line="360" w:lineRule="auto"/>
        <w:ind w:left="1786"/>
        <w:jc w:val="both"/>
        <w:rPr>
          <w:rFonts w:ascii="Cambria" w:eastAsia="Times New Roman" w:hAnsi="Cambria" w:cs="DejaVuSans"/>
          <w:color w:val="000000" w:themeColor="text1"/>
          <w:lang w:eastAsia="es-ES"/>
        </w:rPr>
      </w:pPr>
    </w:p>
    <w:p w:rsidR="00507443" w:rsidRPr="00507443" w:rsidRDefault="00507443" w:rsidP="00507443">
      <w:pPr>
        <w:autoSpaceDE w:val="0"/>
        <w:autoSpaceDN w:val="0"/>
        <w:adjustRightInd w:val="0"/>
        <w:spacing w:before="120" w:after="0" w:line="360" w:lineRule="auto"/>
        <w:ind w:left="1426"/>
        <w:jc w:val="both"/>
        <w:rPr>
          <w:rFonts w:ascii="Cambria" w:eastAsia="Times New Roman" w:hAnsi="Cambria" w:cs="DejaVuSans"/>
          <w:color w:val="000000" w:themeColor="text1"/>
          <w:lang w:eastAsia="es-ES"/>
        </w:rPr>
      </w:pPr>
    </w:p>
    <w:p w:rsidR="00507443" w:rsidRPr="00507443" w:rsidRDefault="00507443" w:rsidP="00507443">
      <w:pPr>
        <w:pStyle w:val="Prrafodelista"/>
        <w:autoSpaceDE w:val="0"/>
        <w:autoSpaceDN w:val="0"/>
        <w:adjustRightInd w:val="0"/>
        <w:spacing w:before="120" w:after="0" w:line="360" w:lineRule="auto"/>
        <w:ind w:left="1786"/>
        <w:jc w:val="both"/>
        <w:rPr>
          <w:rFonts w:ascii="Cambria" w:eastAsia="Times New Roman" w:hAnsi="Cambria" w:cs="DejaVuSans"/>
          <w:color w:val="000000" w:themeColor="text1"/>
          <w:lang w:eastAsia="es-ES"/>
        </w:rPr>
      </w:pPr>
    </w:p>
    <w:p w:rsidR="00214EE4" w:rsidRPr="00214EE4" w:rsidRDefault="00214EE4" w:rsidP="00214EE4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mbria" w:eastAsia="Times New Roman" w:hAnsi="Cambria" w:cs="DejaVuSans"/>
          <w:b/>
          <w:i/>
          <w:color w:val="000000" w:themeColor="text1"/>
          <w:lang w:eastAsia="es-ES"/>
        </w:rPr>
      </w:pPr>
    </w:p>
    <w:p w:rsidR="0088447C" w:rsidRDefault="00D83A6B"/>
    <w:sectPr w:rsidR="0088447C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43" w:rsidRDefault="00507443" w:rsidP="00507443">
      <w:pPr>
        <w:spacing w:after="0" w:line="240" w:lineRule="auto"/>
      </w:pPr>
      <w:r>
        <w:separator/>
      </w:r>
    </w:p>
  </w:endnote>
  <w:endnote w:type="continuationSeparator" w:id="0">
    <w:p w:rsidR="00507443" w:rsidRDefault="00507443" w:rsidP="0050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E" w:rsidRDefault="00D83A6B" w:rsidP="002134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34CE" w:rsidRDefault="00D83A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307047"/>
      <w:docPartObj>
        <w:docPartGallery w:val="Page Numbers (Bottom of Page)"/>
        <w:docPartUnique/>
      </w:docPartObj>
    </w:sdtPr>
    <w:sdtContent>
      <w:p w:rsidR="002134CE" w:rsidRDefault="0050744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443" w:rsidRDefault="0050744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D83A6B" w:rsidRPr="00D83A6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507443" w:rsidRDefault="0050744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83A6B" w:rsidRPr="00D83A6B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43" w:rsidRDefault="00507443" w:rsidP="00507443">
      <w:pPr>
        <w:spacing w:after="0" w:line="240" w:lineRule="auto"/>
      </w:pPr>
      <w:r>
        <w:separator/>
      </w:r>
    </w:p>
  </w:footnote>
  <w:footnote w:type="continuationSeparator" w:id="0">
    <w:p w:rsidR="00507443" w:rsidRDefault="00507443" w:rsidP="0050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0E7"/>
    <w:multiLevelType w:val="hybridMultilevel"/>
    <w:tmpl w:val="D4AEA970"/>
    <w:lvl w:ilvl="0" w:tplc="3F62E1D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40411C"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2" w:tplc="6BFC445A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07305E1"/>
    <w:multiLevelType w:val="hybridMultilevel"/>
    <w:tmpl w:val="633A296C"/>
    <w:lvl w:ilvl="0" w:tplc="0C0A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7A777547"/>
    <w:multiLevelType w:val="hybridMultilevel"/>
    <w:tmpl w:val="39C806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05CA8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4"/>
    <w:rsid w:val="000F41B5"/>
    <w:rsid w:val="00214EE4"/>
    <w:rsid w:val="00507443"/>
    <w:rsid w:val="005176E9"/>
    <w:rsid w:val="009641B2"/>
    <w:rsid w:val="00A57ADD"/>
    <w:rsid w:val="00D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14E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4E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14EE4"/>
  </w:style>
  <w:style w:type="paragraph" w:styleId="Prrafodelista">
    <w:name w:val="List Paragraph"/>
    <w:basedOn w:val="Normal"/>
    <w:uiPriority w:val="34"/>
    <w:qFormat/>
    <w:rsid w:val="009641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7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14E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4E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14EE4"/>
  </w:style>
  <w:style w:type="paragraph" w:styleId="Prrafodelista">
    <w:name w:val="List Paragraph"/>
    <w:basedOn w:val="Normal"/>
    <w:uiPriority w:val="34"/>
    <w:qFormat/>
    <w:rsid w:val="009641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7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2014-11-12T19:22:00Z</dcterms:created>
  <dcterms:modified xsi:type="dcterms:W3CDTF">2014-11-12T19:40:00Z</dcterms:modified>
</cp:coreProperties>
</file>