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1000125" cy="1000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PROGRAMA DE EXAMEN - REGULARES.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Establecimiento:</w:t>
      </w:r>
      <w:r w:rsidDel="00000000" w:rsidR="00000000" w:rsidRPr="00000000">
        <w:rPr>
          <w:rtl w:val="0"/>
        </w:rPr>
        <w:t xml:space="preserve"> Instituto Superior de Profesorado n° 7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Asignatura:</w:t>
      </w:r>
      <w:r w:rsidDel="00000000" w:rsidR="00000000" w:rsidRPr="00000000">
        <w:rPr>
          <w:rtl w:val="0"/>
        </w:rPr>
        <w:t xml:space="preserve"> Producción en el Espacio. Cerámica III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Curso: </w:t>
      </w:r>
      <w:r w:rsidDel="00000000" w:rsidR="00000000" w:rsidRPr="00000000">
        <w:rPr>
          <w:rtl w:val="0"/>
        </w:rPr>
        <w:t xml:space="preserve">3°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u w:val="single"/>
          <w:rtl w:val="0"/>
        </w:rPr>
        <w:t xml:space="preserve">Profesorado:</w:t>
      </w:r>
      <w:r w:rsidDel="00000000" w:rsidR="00000000" w:rsidRPr="00000000">
        <w:rPr>
          <w:rtl w:val="0"/>
        </w:rPr>
        <w:t xml:space="preserve"> Artes Visuales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Profesora remplazante</w:t>
      </w:r>
      <w:r w:rsidDel="00000000" w:rsidR="00000000" w:rsidRPr="00000000">
        <w:rPr>
          <w:rtl w:val="0"/>
        </w:rPr>
        <w:t xml:space="preserve">: Silvina Noguero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Año Lectivo:</w:t>
      </w:r>
      <w:r w:rsidDel="00000000" w:rsidR="00000000" w:rsidRPr="00000000">
        <w:rPr>
          <w:rtl w:val="0"/>
        </w:rPr>
        <w:t xml:space="preserve"> 2021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Contenidos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relación a los aspectos formales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La dimensión simbólica del arte cerámico. Relaciones formales y simbólica: materia- forma- color- textura. Relación de la obra y el entorno. Formas y contexto. Contexto arquitectónico, contexto paisajista natural. Instalaciones. Cerámica escultórica. Concepto de collage en la cerámica. El ensamblaje.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relación a los aspectos técnicos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Ensambles. incorporación de materiales extra cerámicos. 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relación a la producción y contextualización de la imagen.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Modos de abordaje de la imagen cerámica. La interdisciplinariedad y multidisciplinariedad en la producción de obra.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 cerámica como soporte del discurso personal. La cerámica en relación a la escultura, la arquitectura y el diseño. El desarrollo de la cerámica en el contexto mundial. Cerámica y mercado cultural.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el momento del examen el alumno deberá presentar: todos los trabajos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TRABAJOS: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Ingeborg Ringer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Figura humana( ahuecado)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Ronit Baranga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  <w:t xml:space="preserve">Rompiendo barreras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