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entury Gothic" w:cs="Century Gothic" w:eastAsia="Century Gothic" w:hAnsi="Century Gothic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PROFESORADO DE ARTES VISUALES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ESPACIO CURRICULAR: EDUCACIÓN SEXUAL INTEGRAL (ESI)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CURSO: Tercer Año - Anual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HORAS SEMANALES: 2hs. Cátedra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FORMATO CURRICULAR: Seminario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DOCENTE: María Nieves Maggioni – Reemplazante Prof. Raúl Nepote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CICLO LECTIVO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81" w:line="240" w:lineRule="auto"/>
        <w:ind w:left="10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Ejes de contenidos</w:t>
      </w:r>
    </w:p>
    <w:p w:rsidR="00000000" w:rsidDel="00000000" w:rsidP="00000000" w:rsidRDefault="00000000" w:rsidRPr="00000000" w14:paraId="0000000B">
      <w:pPr>
        <w:spacing w:before="127" w:line="240" w:lineRule="auto"/>
        <w:ind w:left="10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Sexualidad y educación sexual</w:t>
      </w:r>
    </w:p>
    <w:p w:rsidR="00000000" w:rsidDel="00000000" w:rsidP="00000000" w:rsidRDefault="00000000" w:rsidRPr="00000000" w14:paraId="0000000C">
      <w:pPr>
        <w:widowControl w:val="0"/>
        <w:spacing w:after="0" w:before="125" w:line="240" w:lineRule="auto"/>
        <w:ind w:left="100" w:right="12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 Nacional N° 26.150/06: Programa Nacional de Educación Sexual Integral. Lineamientos Curriculares para la Educación Sexual Integral. Concepto de sexualidad (OMS). Modelos históricos de educación sexual. Marcos normativos. Rol docente y ESI.</w:t>
      </w:r>
    </w:p>
    <w:p w:rsidR="00000000" w:rsidDel="00000000" w:rsidP="00000000" w:rsidRDefault="00000000" w:rsidRPr="00000000" w14:paraId="0000000D">
      <w:pPr>
        <w:widowControl w:val="0"/>
        <w:spacing w:after="0" w:before="1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0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Los aportes de los estudios de género a la educación sexual integral</w:t>
      </w:r>
    </w:p>
    <w:p w:rsidR="00000000" w:rsidDel="00000000" w:rsidP="00000000" w:rsidRDefault="00000000" w:rsidRPr="00000000" w14:paraId="0000000F">
      <w:pPr>
        <w:widowControl w:val="0"/>
        <w:spacing w:after="0" w:before="127" w:line="240" w:lineRule="auto"/>
        <w:ind w:left="100" w:right="11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género como categoría de análisis. Patriarcado, androcentrismo y producción de conocimientos. Procesos de socialización: estereotipos, mitos y prejuicios de género. El sexismo en la escuela: currÍculum prescripto/vivido/oculto/nulo. Lenguaje inclusivo. Medios masivos de comunicación y representaciones culturales: reproducción de estereotipos.</w:t>
      </w:r>
    </w:p>
    <w:p w:rsidR="00000000" w:rsidDel="00000000" w:rsidP="00000000" w:rsidRDefault="00000000" w:rsidRPr="00000000" w14:paraId="00000010">
      <w:pPr>
        <w:widowControl w:val="0"/>
        <w:spacing w:after="0" w:before="8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10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Diversidades en sus múltiples dimensiones</w:t>
      </w:r>
    </w:p>
    <w:p w:rsidR="00000000" w:rsidDel="00000000" w:rsidP="00000000" w:rsidRDefault="00000000" w:rsidRPr="00000000" w14:paraId="00000012">
      <w:pPr>
        <w:widowControl w:val="0"/>
        <w:spacing w:after="0" w:before="127" w:line="240" w:lineRule="auto"/>
        <w:ind w:left="100" w:right="11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Diversidades en plural: etnia, raza, cultura, orientación sexual, religión, identidad de género, entre otras posibles. Identidades de géneros. Identidades sexuales. Intersexualidades: tensiones entre la biología y el derecho. Distintas formas de organización familiar. Nuevas formas de pensar el parentesco y la filiación. Corresponsabilidad social de los cuidados. Diferencia, diversidad y disidencia. Homo-lesbo-transfobia: desigualdad y discriminación. Marcos normativos.</w:t>
      </w:r>
    </w:p>
    <w:p w:rsidR="00000000" w:rsidDel="00000000" w:rsidP="00000000" w:rsidRDefault="00000000" w:rsidRPr="00000000" w14:paraId="00000013">
      <w:pPr>
        <w:widowControl w:val="0"/>
        <w:spacing w:after="0" w:before="9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10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Corporalidad, Derechos y Autoprotección</w:t>
      </w:r>
    </w:p>
    <w:p w:rsidR="00000000" w:rsidDel="00000000" w:rsidP="00000000" w:rsidRDefault="00000000" w:rsidRPr="00000000" w14:paraId="00000015">
      <w:pPr>
        <w:widowControl w:val="0"/>
        <w:spacing w:after="0" w:before="125" w:line="240" w:lineRule="auto"/>
        <w:ind w:left="100" w:right="11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cuerpo como construcción socio-histórica. Derechos sexuales y reproductivos: derecho a la información, al cuidado, al disfrute, a decidir y a la autodeterminación. Salud sexual y reproductiva: definiciones. Estructura y función de los sistemas reproductores. Gametas: óvulos y espermatozoides. Cambios que se ven y que se sienten: menstruación y polución nocturna. Pubertad y adolescencias. Fecundación. Desarrollo embriológico. Embarazo y parto. Maternidades, paternidades y escolarización. Marcos normativos. Proyectos de vida. Métodos anticonceptivos. Infecciones de Transmisión Sexual (ITS) y SIDA. Interrupción del embarazo. Nuevas tecnologías reproductivas (NTR), connotaciones culturales, sociales y éticas.</w:t>
      </w:r>
    </w:p>
    <w:p w:rsidR="00000000" w:rsidDel="00000000" w:rsidP="00000000" w:rsidRDefault="00000000" w:rsidRPr="00000000" w14:paraId="00000016">
      <w:pPr>
        <w:widowControl w:val="0"/>
        <w:spacing w:after="0" w:before="8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10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Vulneración de derechos</w:t>
      </w:r>
    </w:p>
    <w:p w:rsidR="00000000" w:rsidDel="00000000" w:rsidP="00000000" w:rsidRDefault="00000000" w:rsidRPr="00000000" w14:paraId="00000018">
      <w:pPr>
        <w:widowControl w:val="0"/>
        <w:spacing w:after="0" w:before="125" w:line="240" w:lineRule="auto"/>
        <w:ind w:left="100" w:right="11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Abuso sexual en la infancia y adolescencia. Violencia de género en sus múltiples dimensiones y ámbitos. Trata de Personas. Explotación sexual comercial en niños/niñas y adolescentes. Explotación/Abuso Sexual infiltrada en las nuevas tecnologías: "Grooming" y "Pornografía Infantil". Discriminación. Prevención e intervención desde la escuela en estas situaciones. Marcos normativos</w:t>
      </w:r>
    </w:p>
    <w:p w:rsidR="00000000" w:rsidDel="00000000" w:rsidP="00000000" w:rsidRDefault="00000000" w:rsidRPr="00000000" w14:paraId="00000019">
      <w:pPr>
        <w:widowControl w:val="0"/>
        <w:spacing w:after="0" w:before="1" w:line="240" w:lineRule="auto"/>
        <w:ind w:left="10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Criterios de evaluación</w:t>
      </w:r>
    </w:p>
    <w:p w:rsidR="00000000" w:rsidDel="00000000" w:rsidP="00000000" w:rsidRDefault="00000000" w:rsidRPr="00000000" w14:paraId="0000001A">
      <w:pPr>
        <w:tabs>
          <w:tab w:val="left" w:pos="236"/>
        </w:tabs>
        <w:spacing w:before="127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Capacidad de comunicación en los diferentes entornos (presenciales o virtuales).</w:t>
      </w:r>
    </w:p>
    <w:p w:rsidR="00000000" w:rsidDel="00000000" w:rsidP="00000000" w:rsidRDefault="00000000" w:rsidRPr="00000000" w14:paraId="0000001B">
      <w:pPr>
        <w:tabs>
          <w:tab w:val="left" w:pos="236"/>
        </w:tabs>
        <w:ind w:right="14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Ejercicio de habilidades intelectuales: orden, rigor lógico, análisis y síntesis, relación, comparación, transferencia a situaciones actuales.</w:t>
      </w:r>
    </w:p>
    <w:p w:rsidR="00000000" w:rsidDel="00000000" w:rsidP="00000000" w:rsidRDefault="00000000" w:rsidRPr="00000000" w14:paraId="0000001C">
      <w:pPr>
        <w:tabs>
          <w:tab w:val="left" w:pos="236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Actitud crítica y reflexiva ante las fuentes y la bibliografía. Manejo de bibliografía.</w:t>
      </w:r>
    </w:p>
    <w:p w:rsidR="00000000" w:rsidDel="00000000" w:rsidP="00000000" w:rsidRDefault="00000000" w:rsidRPr="00000000" w14:paraId="0000001D">
      <w:pPr>
        <w:tabs>
          <w:tab w:val="left" w:pos="236"/>
        </w:tabs>
        <w:spacing w:before="127" w:lineRule="auto"/>
        <w:ind w:left="-3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Buena predisposición para el trabajo y la colaboración entre pares.</w:t>
      </w:r>
    </w:p>
    <w:p w:rsidR="00000000" w:rsidDel="00000000" w:rsidP="00000000" w:rsidRDefault="00000000" w:rsidRPr="00000000" w14:paraId="0000001E">
      <w:pPr>
        <w:tabs>
          <w:tab w:val="left" w:pos="236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Capacidad para analizar propuestas educativas desde los diferentes marcos teóricos.</w:t>
      </w:r>
    </w:p>
    <w:p w:rsidR="00000000" w:rsidDel="00000000" w:rsidP="00000000" w:rsidRDefault="00000000" w:rsidRPr="00000000" w14:paraId="0000001F">
      <w:pPr>
        <w:tabs>
          <w:tab w:val="left" w:pos="236"/>
        </w:tabs>
        <w:spacing w:before="127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Argumentación oral y escrita acorde al nivel.</w:t>
      </w:r>
    </w:p>
    <w:p w:rsidR="00000000" w:rsidDel="00000000" w:rsidP="00000000" w:rsidRDefault="00000000" w:rsidRPr="00000000" w14:paraId="00000020">
      <w:pPr>
        <w:tabs>
          <w:tab w:val="left" w:pos="236"/>
        </w:tabs>
        <w:ind w:right="817"/>
        <w:jc w:val="both"/>
        <w:rPr>
          <w:rFonts w:ascii="Arial" w:cs="Arial" w:eastAsia="Arial" w:hAnsi="Arial"/>
          <w:sz w:val="24"/>
          <w:szCs w:val="24"/>
        </w:rPr>
        <w:sectPr>
          <w:headerReference r:id="rId6" w:type="default"/>
          <w:pgSz w:h="16840" w:w="11900" w:orient="portrait"/>
          <w:pgMar w:bottom="960" w:top="820" w:left="980" w:right="980" w:header="0" w:footer="1052"/>
          <w:pgNumType w:start="1"/>
        </w:sect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Apertura y modificación de actitudes, hipótesis y posiciones teóricas frente a las evidencias presentadas.</w:t>
      </w:r>
    </w:p>
    <w:p w:rsidR="00000000" w:rsidDel="00000000" w:rsidP="00000000" w:rsidRDefault="00000000" w:rsidRPr="00000000" w14:paraId="00000021">
      <w:pPr>
        <w:widowControl w:val="0"/>
        <w:spacing w:after="0" w:before="1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93" w:line="240" w:lineRule="auto"/>
        <w:ind w:left="10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Bibliografía sugerida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3"/>
        </w:numPr>
        <w:spacing w:after="0" w:before="125" w:line="240" w:lineRule="auto"/>
        <w:ind w:left="4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Darré, S. (2005) Políticas de género y discurso pedagógico. Montevideo: Ediciones Trilce.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spacing w:after="0" w:before="127" w:line="240" w:lineRule="auto"/>
        <w:ind w:left="4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la Isla, M. y Demarco, L. (2009). Se trata de nosotras. La trata de mujeres y niñas con fines de explotación sexual. 2da. edición. Buenos Aires: Las Juanas Editoras.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3"/>
        </w:numPr>
        <w:spacing w:after="0" w:before="4" w:line="240" w:lineRule="auto"/>
        <w:ind w:left="4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Elizade, S.;Felitti, K. y Queirolo, G. (Coord.). (2009). Género y sexualidades en las tramas del saber: Revisiones y propuestas. Buenos Aires: Libros del Zorzal.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3"/>
        </w:numPr>
        <w:spacing w:after="0" w:before="4" w:line="240" w:lineRule="auto"/>
        <w:ind w:left="460" w:right="111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Escudero Rodriguez, B; Sánchez, J.M.; Borrás, F.X. (2010). Estructura y funcionamiento del cuerpo humano (2° edición). España: McGraw–Hill.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3"/>
        </w:numPr>
        <w:spacing w:after="0" w:before="4" w:line="240" w:lineRule="auto"/>
        <w:ind w:left="4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Jelin, E. (2010). Pan y afectos. La transformación de las familias. Buenos Aires: Fondo de Cultura Económica.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3"/>
        </w:numPr>
        <w:spacing w:after="0" w:before="4" w:line="240" w:lineRule="auto"/>
        <w:ind w:left="4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Levin, S. (2010). Derechos al revés ¿salud sexual y salud reproductiva sin libertad? Buenos Aires: Espacio editorial.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spacing w:after="0" w:before="5" w:line="240" w:lineRule="auto"/>
        <w:ind w:left="4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Maffia, D. (Compiladora) (2003). Sexualidades migrantes. Género y transgénero. Buenos Aires: Feminaria Editora. 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spacing w:after="0" w:before="5" w:line="240" w:lineRule="auto"/>
        <w:ind w:left="4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Meana Suárez, T. (2006). “Sexismo en el lenguaje: apuntes básicos”. En Mujeres en Red. El periódico</w:t>
        <w:tab/>
        <w:t xml:space="preserve">feminista.</w:t>
        <w:tab/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3"/>
        </w:numPr>
        <w:spacing w:after="0" w:line="240" w:lineRule="auto"/>
        <w:ind w:left="4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Moreno Marimón, M. (1986). Cómo se enseña a ser niña en la escuela: el sexismo en la escuela. España Icaria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3"/>
        </w:numPr>
        <w:spacing w:after="0" w:before="127" w:line="240" w:lineRule="auto"/>
        <w:ind w:left="4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Moreno Sardá, A. (1986).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El arquetipo Viril protagonista de la Historia. Ejercicios de Lectura no androcéntrica.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Barcelona, España: Ediciones La Sal.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3"/>
        </w:numPr>
        <w:spacing w:after="0" w:before="5" w:line="240" w:lineRule="auto"/>
        <w:ind w:left="460" w:right="111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Morgade, G. y Alonso, G. (Comp.).(2008). Cuerpos y sexualidades en la escuela: de la normalidad a la disidencia. Buenos Aires: Paidós.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3"/>
        </w:numPr>
        <w:spacing w:after="0" w:before="4" w:line="240" w:lineRule="auto"/>
        <w:ind w:left="4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Morgade, G. (Coord.) (2011).Toda educación es sexual. Buenos Aires: La Crujía Ediciones.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3"/>
        </w:numPr>
        <w:spacing w:after="0" w:before="125" w:line="240" w:lineRule="auto"/>
        <w:ind w:left="4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Pauluzzi, L. (2006). Educación sexual y prevención de la violencia: seminarios taller de capacitación con docentes y profesionales (1°edición). Santa Fe: Hipólita.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3"/>
        </w:numPr>
        <w:spacing w:after="0" w:line="240" w:lineRule="auto"/>
        <w:ind w:left="4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Pautassi, L. (2010). El aporte del enfoque de Derechos a las políticas sociales. Una breve revisión, CEPAL.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3"/>
        </w:numPr>
        <w:spacing w:after="0" w:line="240" w:lineRule="auto"/>
        <w:ind w:left="4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Rodríguez Martínez, C. (Comp). (2004). La ausencia de las mujeres en los contenidos escolares.Buenos Aires: Miño y Dávila.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3"/>
        </w:numPr>
        <w:spacing w:after="0" w:before="125" w:line="240" w:lineRule="auto"/>
        <w:ind w:left="460" w:right="122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Schuster, G. (Coordinadora). (2010) ¿TODO BIEN? Adolescencias y Servicios de Salud Sexual y Reproductiva. Rosario. Instituto de Género, Derecho y Desarrollo (Insgenar) y CLADEM.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2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ind w:left="10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Material Didáctico (Ensayos y experiencias)</w:t>
      </w:r>
    </w:p>
    <w:p w:rsidR="00000000" w:rsidDel="00000000" w:rsidP="00000000" w:rsidRDefault="00000000" w:rsidRPr="00000000" w14:paraId="00000035">
      <w:pPr>
        <w:widowControl w:val="0"/>
        <w:spacing w:after="0" w:before="127" w:line="240" w:lineRule="auto"/>
        <w:ind w:left="808" w:right="120" w:hanging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Materiales del Programa Nacional de Educación Sexual Integral: </w:t>
      </w:r>
      <w:hyperlink r:id="rId8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www.esi.educ.ar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before="3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ind w:left="10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Marcos normativos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ind w:left="10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Convenciones internacionales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ind w:left="10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Convención sobre la eliminación de todas las formas de discriminación contra la mujer CEDAW, 1979). Convención Interamericana para prevenir, sancionar y erradicar la violencia contra la mujer. Convención de Belem do Para (1994) Declaración y plataforma de acción de Beijing (1995).XI Conferencia Regional sobre la Mujer de América Latina y el Caribe. Consenso de Brasilia, 13 a 16 de julio de 2010.</w:t>
      </w:r>
    </w:p>
    <w:p w:rsidR="00000000" w:rsidDel="00000000" w:rsidP="00000000" w:rsidRDefault="00000000" w:rsidRPr="00000000" w14:paraId="0000003A">
      <w:pPr>
        <w:spacing w:before="4" w:line="240" w:lineRule="auto"/>
        <w:ind w:left="10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4" w:line="240" w:lineRule="auto"/>
        <w:ind w:left="10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Leyes Nacionales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4"/>
        </w:numPr>
        <w:tabs>
          <w:tab w:val="left" w:pos="236"/>
        </w:tabs>
        <w:spacing w:after="0" w:before="125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 N° 24.417/ 1994 de Protección contra la violencia familiar.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4"/>
        </w:numPr>
        <w:tabs>
          <w:tab w:val="left" w:pos="236"/>
        </w:tabs>
        <w:spacing w:after="0" w:before="127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 N° 25.273/ 2000 Régimen especial de alumnas embarazadas.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4"/>
        </w:numPr>
        <w:tabs>
          <w:tab w:val="left" w:pos="236"/>
        </w:tabs>
        <w:spacing w:after="0" w:before="81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 N° 25.584/ 2002 de Acciones contra alumnas embarazadas.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4"/>
        </w:numPr>
        <w:tabs>
          <w:tab w:val="left" w:pos="236"/>
        </w:tabs>
        <w:spacing w:after="0" w:before="127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 N° 25.673/2002 Programa Nacional de Salud Sexual y Procreación Responsable.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4"/>
        </w:numPr>
        <w:tabs>
          <w:tab w:val="left" w:pos="240"/>
        </w:tabs>
        <w:spacing w:after="0" w:before="125" w:line="240" w:lineRule="auto"/>
        <w:ind w:left="720" w:right="128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 N° 25.808/2003 Modificación del artículo 1º de la Ley 25.584, prohibición en establecimientos de educación pública de impedir la prosecución normal de los estudios a alumnas embarazadas o madres en periodo de lactancia.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4"/>
        </w:numPr>
        <w:tabs>
          <w:tab w:val="left" w:pos="268"/>
        </w:tabs>
        <w:spacing w:after="0" w:line="240" w:lineRule="auto"/>
        <w:ind w:left="720" w:right="132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 Nº 25.929/2004 de Derechos de Padres e Hijos durante el Proceso de Nacimiento (Parto Respetado).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4"/>
        </w:numPr>
        <w:tabs>
          <w:tab w:val="left" w:pos="236"/>
        </w:tabs>
        <w:spacing w:after="0" w:before="4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 Nº 26.130/2006 Anticoncepción quirúrgica.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4"/>
        </w:numPr>
        <w:tabs>
          <w:tab w:val="left" w:pos="236"/>
        </w:tabs>
        <w:spacing w:after="0" w:before="125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 N° 26.206/2006 Nacional de Educación.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4"/>
        </w:numPr>
        <w:tabs>
          <w:tab w:val="left" w:pos="328"/>
        </w:tabs>
        <w:spacing w:after="0" w:before="127" w:line="240" w:lineRule="auto"/>
        <w:ind w:left="720" w:right="131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 N° 26.061/2006 Protección Integral de los Derechos de las niñas, de los niños y adolescentes.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4"/>
        </w:numPr>
        <w:tabs>
          <w:tab w:val="left" w:pos="236"/>
        </w:tabs>
        <w:spacing w:after="0" w:before="4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 Nº 26.150/2006 Programa Nacional de Educación Sexual Integral.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4"/>
        </w:numPr>
        <w:tabs>
          <w:tab w:val="left" w:pos="240"/>
        </w:tabs>
        <w:spacing w:after="0" w:before="125" w:line="240" w:lineRule="auto"/>
        <w:ind w:left="720" w:right="124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 N° 26.485/2009 Protección integral para prevenir, sancionar y erradicar la violencia contra las mujeres en los ámbitos en que desarrollen sus relaciones interpersonales.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4"/>
        </w:numPr>
        <w:tabs>
          <w:tab w:val="left" w:pos="236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 Nº 26.618/2010 de matrimonio civil.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4"/>
        </w:numPr>
        <w:tabs>
          <w:tab w:val="left" w:pos="236"/>
        </w:tabs>
        <w:spacing w:after="0" w:before="127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 N° 26.743/2012 de identidad de género.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4"/>
        </w:numPr>
        <w:tabs>
          <w:tab w:val="left" w:pos="236"/>
        </w:tabs>
        <w:spacing w:after="0" w:before="125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 N° 26.842/2012 Prevención y sanción de la trata de personas y asistencia a sus víctimas.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4"/>
        </w:numPr>
        <w:tabs>
          <w:tab w:val="left" w:pos="236"/>
        </w:tabs>
        <w:spacing w:after="0" w:before="127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Fallo de la Corte Suprema de Justicia sobre el alcance del aborto no punible (2012).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4"/>
        </w:numPr>
        <w:tabs>
          <w:tab w:val="left" w:pos="236"/>
        </w:tabs>
        <w:spacing w:after="0" w:before="125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 N° 26.862/2013 de Reproducción Médicamente Asistida.</w:t>
      </w:r>
    </w:p>
    <w:p w:rsidR="00000000" w:rsidDel="00000000" w:rsidP="00000000" w:rsidRDefault="00000000" w:rsidRPr="00000000" w14:paraId="0000004C">
      <w:pPr>
        <w:widowControl w:val="0"/>
        <w:spacing w:after="0" w:before="125" w:line="240" w:lineRule="auto"/>
        <w:ind w:left="10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Leyes de la Provincia de Santa Fe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"/>
        </w:numPr>
        <w:spacing w:after="0" w:before="125" w:line="240" w:lineRule="auto"/>
        <w:ind w:left="4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 N° 10947/1992 Establecimientos educativos, Educación Sexual. Incorporación curricular. Ministerio de Educación de Santa Fe.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"/>
        </w:numPr>
        <w:spacing w:after="0" w:before="125" w:line="240" w:lineRule="auto"/>
        <w:ind w:left="4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 Nº 11888/2001 Programa de Salud Reproductiva y Procreación Responsable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1"/>
        </w:numPr>
        <w:tabs>
          <w:tab w:val="left" w:pos="244"/>
        </w:tabs>
        <w:spacing w:after="0" w:before="127" w:line="240" w:lineRule="auto"/>
        <w:ind w:left="460" w:right="13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Ley N° 12.967/2009 Protección y Promoción Integral de los derechos de las niñas, de los niños y adolescentes</w:t>
      </w:r>
    </w:p>
    <w:p w:rsidR="00000000" w:rsidDel="00000000" w:rsidP="00000000" w:rsidRDefault="00000000" w:rsidRPr="00000000" w14:paraId="00000050">
      <w:pPr>
        <w:widowControl w:val="0"/>
        <w:spacing w:after="0" w:before="3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left="100" w:firstLine="0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Resoluciones del Ministerio de Educación de la Provincia de Santa Fe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2"/>
        </w:numPr>
        <w:tabs>
          <w:tab w:val="left" w:pos="262"/>
        </w:tabs>
        <w:spacing w:after="0" w:before="127" w:line="240" w:lineRule="auto"/>
        <w:ind w:left="708" w:right="123" w:hanging="708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N° 143/2012: Autorización para modificar registros y/o documentaciones en el marco de la Ley Nacional de identidad de género.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2"/>
        </w:numPr>
        <w:tabs>
          <w:tab w:val="left" w:pos="236"/>
        </w:tabs>
        <w:spacing w:after="0" w:before="4" w:line="240" w:lineRule="auto"/>
        <w:ind w:left="235" w:hanging="136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N° 2529/2013: Medidas para garantizar el respeto a las opciones de género en el ámbito escolar.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2"/>
        </w:numPr>
        <w:tabs>
          <w:tab w:val="left" w:pos="236"/>
        </w:tabs>
        <w:spacing w:after="0" w:before="125" w:line="240" w:lineRule="auto"/>
        <w:ind w:left="235" w:hanging="136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N° 988/2014: Licencia en el sistema educativo por violencia de género.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before="81" w:line="240" w:lineRule="auto"/>
        <w:ind w:left="10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type w:val="nextPage"/>
      <w:pgSz w:h="16840" w:w="11900" w:orient="portrait"/>
      <w:pgMar w:bottom="1417" w:top="1417" w:left="1701" w:right="170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Arial MT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spacing w:after="0" w:line="240" w:lineRule="auto"/>
      <w:jc w:val="center"/>
      <w:rPr>
        <w:rFonts w:ascii="Century Gothic" w:cs="Century Gothic" w:eastAsia="Century Gothic" w:hAnsi="Century Gothic"/>
        <w:b w:val="1"/>
        <w:sz w:val="24"/>
        <w:szCs w:val="24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24"/>
        <w:szCs w:val="24"/>
        <w:rtl w:val="0"/>
      </w:rPr>
      <w:t xml:space="preserve">EDUCACION SEXUAL INTEGRAL – 2021</w:t>
    </w:r>
  </w:p>
  <w:p w:rsidR="00000000" w:rsidDel="00000000" w:rsidP="00000000" w:rsidRDefault="00000000" w:rsidRPr="00000000" w14:paraId="00000058">
    <w:pPr>
      <w:spacing w:after="0" w:line="240" w:lineRule="auto"/>
      <w:jc w:val="center"/>
      <w:rPr>
        <w:rFonts w:ascii="Arial" w:cs="Arial" w:eastAsia="Arial" w:hAnsi="Arial"/>
        <w:b w:val="1"/>
        <w:color w:val="000000"/>
        <w:sz w:val="28"/>
        <w:szCs w:val="28"/>
        <w:u w:val="single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24"/>
        <w:szCs w:val="24"/>
        <w:rtl w:val="0"/>
      </w:rPr>
      <w:t xml:space="preserve">PROFESORADO ARTES VISUALES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spacing w:after="0" w:line="240" w:lineRule="auto"/>
      <w:rPr>
        <w:rFonts w:ascii="Century Gothic" w:cs="Century Gothic" w:eastAsia="Century Gothic" w:hAnsi="Century Gothic"/>
        <w:b w:val="1"/>
        <w:i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spacing w:after="0" w:line="240" w:lineRule="auto"/>
      <w:jc w:val="center"/>
      <w:rPr>
        <w:rFonts w:ascii="Century Gothic" w:cs="Century Gothic" w:eastAsia="Century Gothic" w:hAnsi="Century Gothic"/>
        <w:b w:val="1"/>
        <w:i w:val="1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5286375</wp:posOffset>
          </wp:positionH>
          <wp:positionV relativeFrom="paragraph">
            <wp:posOffset>171450</wp:posOffset>
          </wp:positionV>
          <wp:extent cx="1247775" cy="628650"/>
          <wp:effectExtent b="0" l="0" r="0" t="0"/>
          <wp:wrapSquare wrapText="bothSides" distB="0" distT="0" distL="114300" distR="114300"/>
          <wp:docPr descr="C:\Users\Flavia Lorena\Pictures\LOGO INSTITUTO.jpg" id="1" name="image1.jpg"/>
          <a:graphic>
            <a:graphicData uri="http://schemas.openxmlformats.org/drawingml/2006/picture">
              <pic:pic>
                <pic:nvPicPr>
                  <pic:cNvPr descr="C:\Users\Flavia Lorena\Pictures\LOGO INSTITUTO.jpg" id="0" name="image1.jpg"/>
                  <pic:cNvPicPr preferRelativeResize="0"/>
                </pic:nvPicPr>
                <pic:blipFill>
                  <a:blip r:embed="rId1"/>
                  <a:srcRect b="31628" l="0" r="0" t="21006"/>
                  <a:stretch>
                    <a:fillRect/>
                  </a:stretch>
                </pic:blipFill>
                <pic:spPr>
                  <a:xfrm>
                    <a:off x="0" y="0"/>
                    <a:ext cx="1247775" cy="628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spacing w:after="0" w:line="240" w:lineRule="auto"/>
      <w:jc w:val="center"/>
      <w:rPr>
        <w:rFonts w:ascii="Century Gothic" w:cs="Century Gothic" w:eastAsia="Century Gothic" w:hAnsi="Century Gothic"/>
        <w:b w:val="1"/>
        <w:i w:val="1"/>
        <w:sz w:val="24"/>
        <w:szCs w:val="24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1"/>
        <w:sz w:val="24"/>
        <w:szCs w:val="24"/>
        <w:rtl w:val="0"/>
      </w:rPr>
      <w:t xml:space="preserve">                                    </w:t>
    </w:r>
  </w:p>
  <w:p w:rsidR="00000000" w:rsidDel="00000000" w:rsidP="00000000" w:rsidRDefault="00000000" w:rsidRPr="00000000" w14:paraId="0000005D">
    <w:pPr>
      <w:spacing w:after="0" w:line="240" w:lineRule="auto"/>
      <w:jc w:val="center"/>
      <w:rPr>
        <w:rFonts w:ascii="Century Gothic" w:cs="Century Gothic" w:eastAsia="Century Gothic" w:hAnsi="Century Gothic"/>
        <w:b w:val="1"/>
        <w:sz w:val="24"/>
        <w:szCs w:val="24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24"/>
        <w:szCs w:val="24"/>
        <w:rtl w:val="0"/>
      </w:rPr>
      <w:t xml:space="preserve">EDUCACION SEXUAL INTEGRAL – 2021</w:t>
    </w:r>
  </w:p>
  <w:p w:rsidR="00000000" w:rsidDel="00000000" w:rsidP="00000000" w:rsidRDefault="00000000" w:rsidRPr="00000000" w14:paraId="0000005E">
    <w:pPr>
      <w:spacing w:after="0" w:line="240" w:lineRule="auto"/>
      <w:jc w:val="center"/>
      <w:rPr>
        <w:rFonts w:ascii="Arial" w:cs="Arial" w:eastAsia="Arial" w:hAnsi="Arial"/>
        <w:b w:val="1"/>
        <w:color w:val="000000"/>
        <w:sz w:val="28"/>
        <w:szCs w:val="28"/>
        <w:u w:val="single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24"/>
        <w:szCs w:val="24"/>
        <w:rtl w:val="0"/>
      </w:rPr>
      <w:t xml:space="preserve">PROFESORADO ARTES VISUALES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spacing w:after="0" w:line="240" w:lineRule="auto"/>
      <w:rPr>
        <w:rFonts w:ascii="Century Gothic" w:cs="Century Gothic" w:eastAsia="Century Gothic" w:hAnsi="Century Gothic"/>
        <w:b w:val="1"/>
        <w:i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·"/>
      <w:lvlJc w:val="left"/>
      <w:pPr>
        <w:ind w:left="708" w:hanging="146"/>
      </w:pPr>
      <w:rPr>
        <w:rFonts w:ascii="Arial MT" w:cs="Arial MT" w:eastAsia="Arial MT" w:hAnsi="Arial MT"/>
        <w:sz w:val="22"/>
        <w:szCs w:val="22"/>
      </w:rPr>
    </w:lvl>
    <w:lvl w:ilvl="1">
      <w:start w:val="1"/>
      <w:numFmt w:val="bullet"/>
      <w:lvlText w:val="•"/>
      <w:lvlJc w:val="left"/>
      <w:pPr>
        <w:ind w:left="1614" w:hanging="146"/>
      </w:pPr>
      <w:rPr/>
    </w:lvl>
    <w:lvl w:ilvl="2">
      <w:start w:val="1"/>
      <w:numFmt w:val="bullet"/>
      <w:lvlText w:val="•"/>
      <w:lvlJc w:val="left"/>
      <w:pPr>
        <w:ind w:left="2528" w:hanging="146"/>
      </w:pPr>
      <w:rPr/>
    </w:lvl>
    <w:lvl w:ilvl="3">
      <w:start w:val="1"/>
      <w:numFmt w:val="bullet"/>
      <w:lvlText w:val="•"/>
      <w:lvlJc w:val="left"/>
      <w:pPr>
        <w:ind w:left="3442" w:hanging="146.00000000000045"/>
      </w:pPr>
      <w:rPr/>
    </w:lvl>
    <w:lvl w:ilvl="4">
      <w:start w:val="1"/>
      <w:numFmt w:val="bullet"/>
      <w:lvlText w:val="•"/>
      <w:lvlJc w:val="left"/>
      <w:pPr>
        <w:ind w:left="4356" w:hanging="146"/>
      </w:pPr>
      <w:rPr/>
    </w:lvl>
    <w:lvl w:ilvl="5">
      <w:start w:val="1"/>
      <w:numFmt w:val="bullet"/>
      <w:lvlText w:val="•"/>
      <w:lvlJc w:val="left"/>
      <w:pPr>
        <w:ind w:left="5270" w:hanging="146"/>
      </w:pPr>
      <w:rPr/>
    </w:lvl>
    <w:lvl w:ilvl="6">
      <w:start w:val="1"/>
      <w:numFmt w:val="bullet"/>
      <w:lvlText w:val="•"/>
      <w:lvlJc w:val="left"/>
      <w:pPr>
        <w:ind w:left="6184" w:hanging="146"/>
      </w:pPr>
      <w:rPr/>
    </w:lvl>
    <w:lvl w:ilvl="7">
      <w:start w:val="1"/>
      <w:numFmt w:val="bullet"/>
      <w:lvlText w:val="•"/>
      <w:lvlJc w:val="left"/>
      <w:pPr>
        <w:ind w:left="7098" w:hanging="146.0000000000009"/>
      </w:pPr>
      <w:rPr/>
    </w:lvl>
    <w:lvl w:ilvl="8">
      <w:start w:val="1"/>
      <w:numFmt w:val="bullet"/>
      <w:lvlText w:val="•"/>
      <w:lvlJc w:val="left"/>
      <w:pPr>
        <w:ind w:left="8012" w:hanging="146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yperlink" Target="http://www.codajic.org/sites/www.codajic.org/files/Libro-Todo-Bien-Adolescencias-y-Servicios-de-Salus-Sexual-y-Reproductiva.pdf" TargetMode="External"/><Relationship Id="rId8" Type="http://schemas.openxmlformats.org/officeDocument/2006/relationships/hyperlink" Target="http://www.esi.educ.a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