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>
            <wp:extent cx="1668780" cy="166878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14" w:lineRule="auto"/>
        <w:ind w:left="15" w:right="822" w:firstLine="1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Profesorado de Artes Visuales con Orientación en Producción 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  <w:u w:val="single"/>
        </w:rPr>
        <w:t>Espacio Curricular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: PRÁCTICA DOCENTE III – Nivel Primario 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  <w:u w:val="single"/>
        </w:rPr>
        <w:t>Régimen de cursado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: ANUAL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21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  <w:u w:val="single"/>
        </w:rPr>
        <w:t>Carga horaria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: CINCO (5) HORAS SEMANALES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40" w:lineRule="auto"/>
        <w:ind w:left="1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  <w:u w:val="single"/>
        </w:rPr>
        <w:t>Docentes a cargo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: LOZA LUCRECIA – RODRIGUEZ MÓNICA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79" w:lineRule="auto"/>
        <w:ind w:left="21" w:right="91" w:hanging="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  <w:u w:val="single"/>
        </w:rPr>
        <w:t>Materias correlativas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: Para acceder a las Prácticas de Ensayo y Residencia se  deben tener aprobadas las siguientes materias: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8" w:line="240" w:lineRule="auto"/>
        <w:ind w:left="391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⮚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Taller de Docencia I.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40" w:lineRule="auto"/>
        <w:ind w:left="391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⮚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Didáctica de las Artes Visuales I.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40" w:lineRule="auto"/>
        <w:ind w:left="391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⮚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Psicología del Alumno I. 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A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  <w:u w:val="single"/>
        </w:rPr>
        <w:t>ño</w:t>
      </w:r>
      <w:r>
        <w:rPr>
          <w:rFonts w:ascii="Calibri" w:eastAsia="Calibri" w:hAnsi="Calibri" w:cs="Calibri"/>
          <w:color w:val="000000"/>
          <w:sz w:val="28"/>
          <w:szCs w:val="28"/>
        </w:rPr>
        <w:t>: 2021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Fundamentación del Espacio Curricular</w:t>
      </w:r>
      <w:r>
        <w:rPr>
          <w:rFonts w:ascii="Calibri" w:eastAsia="Calibri" w:hAnsi="Calibri" w:cs="Calibri"/>
          <w:color w:val="000000"/>
        </w:rPr>
        <w:t xml:space="preserve">: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80" w:lineRule="auto"/>
        <w:ind w:left="16" w:right="3" w:hanging="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 utiliza la denominación Trayecto de Práctica, interpretándose como “secuencias formativas  centradas en la construcción de las prácticas docentes, entendiendo a éstas como un conjunto de  procesos complejos y multidimensionales”, que exceden la definici</w:t>
      </w:r>
      <w:r>
        <w:rPr>
          <w:rFonts w:ascii="Calibri" w:eastAsia="Calibri" w:hAnsi="Calibri" w:cs="Calibri"/>
          <w:color w:val="000000"/>
        </w:rPr>
        <w:t xml:space="preserve">ón clásica de dar clase y se la  inserta dentro de la complejidad del contexto institucional e histórico, político y social en el cual  se desarrollan.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80" w:lineRule="auto"/>
        <w:ind w:left="12" w:firstLine="1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Llegar a ser </w:t>
      </w:r>
      <w:r>
        <w:rPr>
          <w:rFonts w:ascii="Calibri" w:eastAsia="Calibri" w:hAnsi="Calibri" w:cs="Calibri"/>
          <w:b/>
          <w:color w:val="000000"/>
        </w:rPr>
        <w:t xml:space="preserve">PROFESOR/A </w:t>
      </w:r>
      <w:r>
        <w:rPr>
          <w:rFonts w:ascii="Calibri" w:eastAsia="Calibri" w:hAnsi="Calibri" w:cs="Calibri"/>
          <w:color w:val="000000"/>
        </w:rPr>
        <w:t>requiere que en el proceso de formación inicial, los/las estudiantes  adquieran</w:t>
      </w:r>
      <w:r>
        <w:rPr>
          <w:rFonts w:ascii="Calibri" w:eastAsia="Calibri" w:hAnsi="Calibri" w:cs="Calibri"/>
          <w:color w:val="000000"/>
        </w:rPr>
        <w:t xml:space="preserve"> un conjunto de competencias profesionales. Las mismas incluyen una serie de  conocimientos y destrezas específicas de su rol profesional incluyendo los intereses, valores y  actitudes de los profesores. Es por ello, que en este sentido el período de práct</w:t>
      </w:r>
      <w:r>
        <w:rPr>
          <w:rFonts w:ascii="Calibri" w:eastAsia="Calibri" w:hAnsi="Calibri" w:cs="Calibri"/>
          <w:color w:val="000000"/>
        </w:rPr>
        <w:t xml:space="preserve">icas cumple una  </w:t>
      </w:r>
      <w:r>
        <w:rPr>
          <w:rFonts w:ascii="Calibri" w:eastAsia="Calibri" w:hAnsi="Calibri" w:cs="Calibri"/>
          <w:color w:val="000000"/>
        </w:rPr>
        <w:lastRenderedPageBreak/>
        <w:t xml:space="preserve">función socializadora muy importante.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81" w:lineRule="auto"/>
        <w:ind w:left="18" w:right="10" w:firstLine="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Desde esta perspectiva, entendemos que aprender a ser profesor/a no es solo aprender a enseñar  un contenido, “sino aprender las características, los significados y las funciones sociales de la  ocupa</w:t>
      </w:r>
      <w:r>
        <w:rPr>
          <w:rFonts w:ascii="Calibri" w:eastAsia="Calibri" w:hAnsi="Calibri" w:cs="Calibri"/>
          <w:color w:val="000000"/>
        </w:rPr>
        <w:t xml:space="preserve">ción”. El trayecto de prácticas en tanto espacio curricular resulta esencial porque le permite  al estudiante ejercer su oficio y convivir con profesores en su propio ambiente profesional.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80" w:lineRule="auto"/>
        <w:ind w:left="17" w:right="1" w:firstLine="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El Taller de Docencia III- Trayecto de Práctica- del profesorado en Artes Visuales, tiene la  particularidad de ser la primera experiencia áulica en el ejercicio pleno del rol con acciones  situadas y contextualizadas que efectúa el estudiante. El fin de e</w:t>
      </w:r>
      <w:r>
        <w:rPr>
          <w:rFonts w:ascii="Calibri" w:eastAsia="Calibri" w:hAnsi="Calibri" w:cs="Calibri"/>
          <w:color w:val="000000"/>
        </w:rPr>
        <w:t xml:space="preserve">ste espacio es brindarle a los  mismos un conjunto de herramientas teóricas, prácticas y metodológicas que les permitan una  aproximación sistemática a la realidad socio-educativa, partiendo de una vinculación dialéctica  entre la teoría, la práctica y la </w:t>
      </w:r>
      <w:r>
        <w:rPr>
          <w:rFonts w:ascii="Calibri" w:eastAsia="Calibri" w:hAnsi="Calibri" w:cs="Calibri"/>
          <w:color w:val="000000"/>
        </w:rPr>
        <w:t xml:space="preserve">capacidad creadora.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81" w:lineRule="auto"/>
        <w:ind w:left="18" w:right="3" w:firstLine="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Resulta fundamental que los estudiantes tengan la posibilidad de generar vínculos significativos  entre los contenidos abordados desde los distintos espacios curriculares transitados durante el  desarrollo de la carrera, a fin de logra</w:t>
      </w:r>
      <w:r>
        <w:rPr>
          <w:rFonts w:ascii="Calibri" w:eastAsia="Calibri" w:hAnsi="Calibri" w:cs="Calibri"/>
          <w:color w:val="000000"/>
        </w:rPr>
        <w:t xml:space="preserve">r una síntesis sustantiva para abordar la didáctica de las  artes.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81" w:lineRule="auto"/>
        <w:ind w:left="18" w:firstLine="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Desde esta perspectiva se pone en juego la experiencia de enseñar y crear en base a la postura de  la educación por el arte, acompañando al estudiante en la tarea de construir sus aprendiz</w:t>
      </w:r>
      <w:r>
        <w:rPr>
          <w:rFonts w:ascii="Calibri" w:eastAsia="Calibri" w:hAnsi="Calibri" w:cs="Calibri"/>
          <w:color w:val="000000"/>
        </w:rPr>
        <w:t>ajes.  Esto convalida la formación integral del futuro docente de arte, donde pensar, enseñar y crear  aparecen íntimamente relacionados en la práctica educativa.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Propósitos: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80" w:lineRule="auto"/>
        <w:ind w:left="738" w:hanging="337"/>
        <w:jc w:val="both"/>
        <w:rPr>
          <w:rFonts w:ascii="Calibri" w:eastAsia="Calibri" w:hAnsi="Calibri" w:cs="Calibri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❖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Concebir la práctica educativa desde la complejidad y multidimensionalidad que la  caracteriza y al mismo tiempo como un espacio de articulación dialéctica entre teoría y  práctica.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83" w:lineRule="auto"/>
        <w:ind w:left="739" w:right="9" w:hanging="338"/>
        <w:rPr>
          <w:rFonts w:ascii="Calibri" w:eastAsia="Calibri" w:hAnsi="Calibri" w:cs="Calibri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❖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Pensar el diseño de propuestas didácticas que favorezcan la actividad e</w:t>
      </w:r>
      <w:r>
        <w:rPr>
          <w:rFonts w:ascii="Calibri" w:eastAsia="Calibri" w:hAnsi="Calibri" w:cs="Calibri"/>
          <w:color w:val="000000"/>
        </w:rPr>
        <w:t xml:space="preserve">xpresiva y crítica  de los estudiantes.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79" w:lineRule="auto"/>
        <w:ind w:left="745" w:right="5" w:hanging="344"/>
        <w:rPr>
          <w:rFonts w:ascii="Calibri" w:eastAsia="Calibri" w:hAnsi="Calibri" w:cs="Calibri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❖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Posibilitar la apropiación de contenidos disciplinares y la selección de estrategias  metodológicas, de acuerdo con los diferentes grupos de estudiantes.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80" w:lineRule="auto"/>
        <w:ind w:left="738" w:right="8" w:hanging="337"/>
        <w:rPr>
          <w:rFonts w:ascii="Calibri" w:eastAsia="Calibri" w:hAnsi="Calibri" w:cs="Calibri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❖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Acompañar el recorrido de los estudiantes en la práctica docente, por cada uno de los  establecimientos destinados.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8" w:line="240" w:lineRule="auto"/>
        <w:ind w:left="18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Objetivos: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Que el estudiante logre: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79" w:lineRule="auto"/>
        <w:ind w:left="738" w:right="10" w:hanging="346"/>
        <w:rPr>
          <w:rFonts w:ascii="Calibri" w:eastAsia="Calibri" w:hAnsi="Calibri" w:cs="Calibri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lastRenderedPageBreak/>
        <w:t>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Construir los aprendizajes necesarios que le permitan desarrollar sus Prácticas Docentes  en el Nivel Primario. 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81" w:lineRule="auto"/>
        <w:ind w:left="743" w:right="5" w:hanging="350"/>
        <w:jc w:val="both"/>
        <w:rPr>
          <w:rFonts w:ascii="Calibri" w:eastAsia="Calibri" w:hAnsi="Calibri" w:cs="Calibri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Analizar las prácticas educativas en los contextos institucionales específicos, atendiendo a  las características del proyecto educativo ins</w:t>
      </w:r>
      <w:r>
        <w:rPr>
          <w:rFonts w:ascii="Calibri" w:eastAsia="Calibri" w:hAnsi="Calibri" w:cs="Calibri"/>
          <w:color w:val="000000"/>
        </w:rPr>
        <w:t xml:space="preserve">titucional y a la comunidad en la que está  inserta la escuela destino de sus prácticas.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1" w:lineRule="auto"/>
        <w:ind w:left="392" w:right="8"/>
        <w:rPr>
          <w:rFonts w:ascii="Calibri" w:eastAsia="Calibri" w:hAnsi="Calibri" w:cs="Calibri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Adquirir el compromiso de asumir el rol Docente frente a los niños/as que tendrá a su  cargo y con respecto a lo que le solicite la Institución que abre sus puertas a las Prácticas. </w:t>
      </w:r>
      <w:r>
        <w:rPr>
          <w:rFonts w:ascii="Arial Unicode MS" w:eastAsia="Arial Unicode MS" w:hAnsi="Arial Unicode MS" w:cs="Arial Unicode MS"/>
          <w:color w:val="000000"/>
        </w:rPr>
        <w:t>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Reflexionar críticamente sobre su propia práctica a fin de favorecer la </w:t>
      </w:r>
      <w:r>
        <w:rPr>
          <w:rFonts w:ascii="Calibri" w:eastAsia="Calibri" w:hAnsi="Calibri" w:cs="Calibri"/>
          <w:color w:val="000000"/>
        </w:rPr>
        <w:t xml:space="preserve">construcción de  saberes que enriquezcan los modos de pensar, hacer y sentir.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40" w:lineRule="auto"/>
        <w:ind w:left="18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Contenidos: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79" w:lineRule="auto"/>
        <w:ind w:left="400" w:right="1211"/>
        <w:rPr>
          <w:rFonts w:ascii="Calibri" w:eastAsia="Calibri" w:hAnsi="Calibri" w:cs="Calibri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❖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La Práctica Educativa. Conceptualizaciones como campo de acción y reflexión. </w:t>
      </w:r>
      <w:r>
        <w:rPr>
          <w:rFonts w:ascii="Arial Unicode MS" w:eastAsia="Arial Unicode MS" w:hAnsi="Arial Unicode MS" w:cs="Arial Unicode MS"/>
          <w:color w:val="000000"/>
        </w:rPr>
        <w:t>❖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La biografía escolar: componentes. Reconstrucción y resignificación. 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83" w:lineRule="auto"/>
        <w:ind w:left="737" w:right="11" w:hanging="336"/>
        <w:rPr>
          <w:rFonts w:ascii="Calibri" w:eastAsia="Calibri" w:hAnsi="Calibri" w:cs="Calibri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❖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El diario de clase como instrumento de análisis e investigación. Narrativa: naturaleza y  sentido en la práctica pedagógica.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79" w:lineRule="auto"/>
        <w:ind w:left="738" w:right="4" w:hanging="337"/>
        <w:rPr>
          <w:rFonts w:ascii="Calibri" w:eastAsia="Calibri" w:hAnsi="Calibri" w:cs="Calibri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❖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El diagnóstico en educación: conceptualización y finalidad. Diagnóstico institucional y  áulico. Técnicas e instrumentos de reco</w:t>
      </w:r>
      <w:r>
        <w:rPr>
          <w:rFonts w:ascii="Calibri" w:eastAsia="Calibri" w:hAnsi="Calibri" w:cs="Calibri"/>
          <w:color w:val="000000"/>
        </w:rPr>
        <w:t xml:space="preserve">lección de información. 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83" w:lineRule="auto"/>
        <w:ind w:left="747" w:right="8" w:hanging="346"/>
        <w:rPr>
          <w:rFonts w:ascii="Calibri" w:eastAsia="Calibri" w:hAnsi="Calibri" w:cs="Calibri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❖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La planificación educativa. Componentes curriculares. La clase como unidad de análisis.  Propuestas específicas del lenguaje plástico visual.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79" w:lineRule="auto"/>
        <w:ind w:left="738" w:right="8" w:hanging="337"/>
        <w:rPr>
          <w:rFonts w:ascii="Calibri" w:eastAsia="Calibri" w:hAnsi="Calibri" w:cs="Calibri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❖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Observación y análisis de situaciones de enseñanza de contenidos de educación plástica,  análisis de documentos curriculares y planificaciones.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6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❖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Elaboración de diagnósticos institucionales y áulicos.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80" w:lineRule="auto"/>
        <w:ind w:left="738" w:right="1" w:hanging="337"/>
        <w:rPr>
          <w:rFonts w:ascii="Calibri" w:eastAsia="Calibri" w:hAnsi="Calibri" w:cs="Calibri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❖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Planificación de las estrategias de enseñanza adecua</w:t>
      </w:r>
      <w:r>
        <w:rPr>
          <w:rFonts w:ascii="Calibri" w:eastAsia="Calibri" w:hAnsi="Calibri" w:cs="Calibri"/>
          <w:color w:val="000000"/>
        </w:rPr>
        <w:t xml:space="preserve">das a los grupos escolares, acorde al  contexto sociocultural.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81" w:lineRule="auto"/>
        <w:ind w:left="400" w:right="7"/>
        <w:rPr>
          <w:rFonts w:ascii="Calibri" w:eastAsia="Calibri" w:hAnsi="Calibri" w:cs="Calibri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❖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Diseño y puesta en práctica de propuestas didácticas que favorezcan la actividad expresiva  de los alumnos: estrategias taller-puesta en común, análisis de obra, creaciones colectivas. </w:t>
      </w:r>
      <w:r>
        <w:rPr>
          <w:rFonts w:ascii="Arial Unicode MS" w:eastAsia="Arial Unicode MS" w:hAnsi="Arial Unicode MS" w:cs="Arial Unicode MS"/>
          <w:color w:val="000000"/>
        </w:rPr>
        <w:t>❖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Integración y establecimiento de relaciones significativas de contenidos de la educación  plástica con otras áreas del conocimiento escolar.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40" w:lineRule="auto"/>
        <w:ind w:left="14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Encuadre de trabajo: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81" w:lineRule="auto"/>
        <w:ind w:left="17" w:right="7" w:firstLine="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Consideramos que el Trayecto de Práctica III debe ser un espacio de aprendizaje y construcci</w:t>
      </w:r>
      <w:r>
        <w:rPr>
          <w:rFonts w:ascii="Calibri" w:eastAsia="Calibri" w:hAnsi="Calibri" w:cs="Calibri"/>
          <w:color w:val="000000"/>
        </w:rPr>
        <w:t xml:space="preserve">ón  colectiva, por lo tanto hemos adoptado la modalidad taller a fin de promover instancias de  </w:t>
      </w:r>
      <w:r>
        <w:rPr>
          <w:rFonts w:ascii="Calibri" w:eastAsia="Calibri" w:hAnsi="Calibri" w:cs="Calibri"/>
          <w:color w:val="000000"/>
        </w:rPr>
        <w:lastRenderedPageBreak/>
        <w:t xml:space="preserve">socialización grupal, reflexiva y productiva. El desarrollo del espacio prevé tres momentos: 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80" w:lineRule="auto"/>
        <w:ind w:left="737" w:right="4" w:hanging="350"/>
        <w:jc w:val="both"/>
        <w:rPr>
          <w:rFonts w:ascii="Calibri" w:eastAsia="Calibri" w:hAnsi="Calibri" w:cs="Calibri"/>
          <w:color w:val="000000"/>
        </w:rPr>
      </w:pPr>
      <w:r>
        <w:rPr>
          <w:rFonts w:ascii="Times" w:eastAsia="Times" w:hAnsi="Times" w:cs="Times"/>
          <w:color w:val="000000"/>
        </w:rPr>
        <w:t xml:space="preserve">● </w:t>
      </w:r>
      <w:r>
        <w:rPr>
          <w:rFonts w:ascii="Calibri" w:eastAsia="Calibri" w:hAnsi="Calibri" w:cs="Calibri"/>
          <w:color w:val="000000"/>
          <w:u w:val="single"/>
        </w:rPr>
        <w:t>La observación y práctica docente</w:t>
      </w:r>
      <w:r>
        <w:rPr>
          <w:rFonts w:ascii="Calibri" w:eastAsia="Calibri" w:hAnsi="Calibri" w:cs="Calibri"/>
          <w:color w:val="000000"/>
        </w:rPr>
        <w:t>: Durante este primer periodo se promoverán  actividades tendientes a retomar aquellos aprendizajes realizados durante años  anteriores, realizándose en una relación permanente con su biografía escolar, a fin de  poder reflexionar sobre sus supuestos y sab</w:t>
      </w:r>
      <w:r>
        <w:rPr>
          <w:rFonts w:ascii="Calibri" w:eastAsia="Calibri" w:hAnsi="Calibri" w:cs="Calibri"/>
          <w:color w:val="000000"/>
        </w:rPr>
        <w:t xml:space="preserve">eres implícitos acerca del rol profesional  docente. Esta etapa inicial tiene la finalidad también de identificar dificultades o  situaciones problemáticas individuales y/o grupales para poder elaborar colectivamente  instancias superadoras.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80" w:lineRule="auto"/>
        <w:ind w:left="732" w:right="1" w:hanging="345"/>
        <w:jc w:val="both"/>
        <w:rPr>
          <w:rFonts w:ascii="Calibri" w:eastAsia="Calibri" w:hAnsi="Calibri" w:cs="Calibri"/>
          <w:color w:val="000000"/>
        </w:rPr>
      </w:pPr>
      <w:r>
        <w:rPr>
          <w:rFonts w:ascii="Times" w:eastAsia="Times" w:hAnsi="Times" w:cs="Times"/>
          <w:color w:val="000000"/>
        </w:rPr>
        <w:t xml:space="preserve">● </w:t>
      </w:r>
      <w:r>
        <w:rPr>
          <w:rFonts w:ascii="Calibri" w:eastAsia="Calibri" w:hAnsi="Calibri" w:cs="Calibri"/>
          <w:color w:val="000000"/>
          <w:u w:val="single"/>
        </w:rPr>
        <w:t xml:space="preserve">El trabajo </w:t>
      </w:r>
      <w:r>
        <w:rPr>
          <w:rFonts w:ascii="Calibri" w:eastAsia="Calibri" w:hAnsi="Calibri" w:cs="Calibri"/>
          <w:color w:val="000000"/>
          <w:u w:val="single"/>
        </w:rPr>
        <w:t>de campo en la institución formadora</w:t>
      </w:r>
      <w:r>
        <w:rPr>
          <w:rFonts w:ascii="Calibri" w:eastAsia="Calibri" w:hAnsi="Calibri" w:cs="Calibri"/>
          <w:color w:val="000000"/>
        </w:rPr>
        <w:t>: El trabajo de campo debe ser un trabajo  compartido entre los docentes a cargo del taller y el profesor co-formador especialista en  Artes Visuales del establecimiento educativo donde se efectúe la práctica. Se pretend</w:t>
      </w:r>
      <w:r>
        <w:rPr>
          <w:rFonts w:ascii="Calibri" w:eastAsia="Calibri" w:hAnsi="Calibri" w:cs="Calibri"/>
          <w:color w:val="000000"/>
        </w:rPr>
        <w:t>e  que esta instancia sea para el docente practicante un espacio de acción y reflexión en un  permanente trabajo de integración entre los problemas observados en su práctica y su  comprensión a través de los aspectos teóricos respectivos, en un proceso dia</w:t>
      </w:r>
      <w:r>
        <w:rPr>
          <w:rFonts w:ascii="Calibri" w:eastAsia="Calibri" w:hAnsi="Calibri" w:cs="Calibri"/>
          <w:color w:val="000000"/>
        </w:rPr>
        <w:t>léctico de  relación teoría y práctica. Esto último resulta fundamental a fin de que el docente  practicante pueda fundamentar sus producciones, lo cual le permitirá construir su  identidad docente, afianzando su autonomía en la toma de decisiones, favorec</w:t>
      </w:r>
      <w:r>
        <w:rPr>
          <w:rFonts w:ascii="Calibri" w:eastAsia="Calibri" w:hAnsi="Calibri" w:cs="Calibri"/>
          <w:color w:val="000000"/>
        </w:rPr>
        <w:t xml:space="preserve">iendo las  posibilidades de evaluación y revisión del proceso de enseñanza y de aprendizaje.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80" w:lineRule="auto"/>
        <w:ind w:left="738" w:right="1" w:hanging="351"/>
        <w:jc w:val="both"/>
        <w:rPr>
          <w:rFonts w:ascii="Calibri" w:eastAsia="Calibri" w:hAnsi="Calibri" w:cs="Calibri"/>
          <w:color w:val="000000"/>
        </w:rPr>
      </w:pPr>
      <w:r>
        <w:rPr>
          <w:rFonts w:ascii="Times" w:eastAsia="Times" w:hAnsi="Times" w:cs="Times"/>
          <w:color w:val="000000"/>
        </w:rPr>
        <w:t xml:space="preserve">● </w:t>
      </w:r>
      <w:r>
        <w:rPr>
          <w:rFonts w:ascii="Calibri" w:eastAsia="Calibri" w:hAnsi="Calibri" w:cs="Calibri"/>
          <w:color w:val="000000"/>
          <w:u w:val="single"/>
        </w:rPr>
        <w:t>Etapa de reflexión sobre lo actuado</w:t>
      </w:r>
      <w:r>
        <w:rPr>
          <w:rFonts w:ascii="Calibri" w:eastAsia="Calibri" w:hAnsi="Calibri" w:cs="Calibri"/>
          <w:color w:val="000000"/>
        </w:rPr>
        <w:t>: Una buena práctica docente se apoya en una toma de  conciencia de las decisiones tomadas, antes, durante y después de la in</w:t>
      </w:r>
      <w:r>
        <w:rPr>
          <w:rFonts w:ascii="Calibri" w:eastAsia="Calibri" w:hAnsi="Calibri" w:cs="Calibri"/>
          <w:color w:val="000000"/>
        </w:rPr>
        <w:t>tervención  docente. Esta conciencia deviene de un cuestionamiento de qué hacemos, por qué y para  qué lo hacemos. La reflexión no es innata por lo que creemos que es fundamental  incentivarla en todo momento, la triangulación de los datos obtenidos a trav</w:t>
      </w:r>
      <w:r>
        <w:rPr>
          <w:rFonts w:ascii="Calibri" w:eastAsia="Calibri" w:hAnsi="Calibri" w:cs="Calibri"/>
          <w:color w:val="000000"/>
        </w:rPr>
        <w:t>és de distintas  herramientas, como los diarios de clase, el portafolio como carpeta de proceso,  observaciones de profesores y compañeros para abordar la reflexión y constituir su  identidad docente.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Estrategias metodológicas: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392"/>
        <w:rPr>
          <w:rFonts w:ascii="Calibri" w:eastAsia="Calibri" w:hAnsi="Calibri" w:cs="Calibri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Metodología de taller.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392"/>
        <w:rPr>
          <w:rFonts w:ascii="Calibri" w:eastAsia="Calibri" w:hAnsi="Calibri" w:cs="Calibri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Exposición dialogada y puesta en común.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392"/>
        <w:rPr>
          <w:rFonts w:ascii="Calibri" w:eastAsia="Calibri" w:hAnsi="Calibri" w:cs="Calibri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Triangulación de distintas fuentes de información.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392"/>
        <w:rPr>
          <w:rFonts w:ascii="Calibri" w:eastAsia="Calibri" w:hAnsi="Calibri" w:cs="Calibri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Lectura de imágenes.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392"/>
        <w:rPr>
          <w:rFonts w:ascii="Calibri" w:eastAsia="Calibri" w:hAnsi="Calibri" w:cs="Calibri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Entrevistas.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392"/>
        <w:rPr>
          <w:rFonts w:ascii="Calibri" w:eastAsia="Calibri" w:hAnsi="Calibri" w:cs="Calibri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Diario del observador.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392"/>
        <w:rPr>
          <w:rFonts w:ascii="Calibri" w:eastAsia="Calibri" w:hAnsi="Calibri" w:cs="Calibri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Diario de clase.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392"/>
        <w:rPr>
          <w:rFonts w:ascii="Calibri" w:eastAsia="Calibri" w:hAnsi="Calibri" w:cs="Calibri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lastRenderedPageBreak/>
        <w:t>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Análisis de films relacionados con la práctica docente.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392"/>
        <w:rPr>
          <w:rFonts w:ascii="Calibri" w:eastAsia="Calibri" w:hAnsi="Calibri" w:cs="Calibri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Trabajo en equipo.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3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Recursos: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Fotografías, videos, relatos de clase, material bibliográfico.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Evaluación</w:t>
      </w:r>
      <w:r>
        <w:rPr>
          <w:rFonts w:ascii="Calibri" w:eastAsia="Calibri" w:hAnsi="Calibri" w:cs="Calibri"/>
          <w:color w:val="000000"/>
        </w:rPr>
        <w:t xml:space="preserve">: 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 xml:space="preserve">Inicial: </w:t>
      </w:r>
      <w:r>
        <w:rPr>
          <w:rFonts w:ascii="Calibri" w:eastAsia="Calibri" w:hAnsi="Calibri" w:cs="Calibri"/>
          <w:color w:val="000000"/>
        </w:rPr>
        <w:t xml:space="preserve">A través de la indagación de los conocimientos previos.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81" w:lineRule="auto"/>
        <w:ind w:left="18" w:right="2" w:firstLine="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 xml:space="preserve">Procesual: </w:t>
      </w:r>
      <w:r>
        <w:rPr>
          <w:rFonts w:ascii="Calibri" w:eastAsia="Calibri" w:hAnsi="Calibri" w:cs="Calibri"/>
          <w:color w:val="000000"/>
        </w:rPr>
        <w:t xml:space="preserve">Pretende promover procesos meta cognitivos a fin de que el alumno pueda generar  aprendizajes tanto de sus logros como de sus dificultades, como parte intrínseca del proceso de  aprendizaje.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80" w:lineRule="auto"/>
        <w:ind w:left="18" w:right="2" w:firstLine="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 xml:space="preserve">Final: </w:t>
      </w:r>
      <w:r>
        <w:rPr>
          <w:rFonts w:ascii="Calibri" w:eastAsia="Calibri" w:hAnsi="Calibri" w:cs="Calibri"/>
          <w:color w:val="000000"/>
        </w:rPr>
        <w:t xml:space="preserve">A través de la integración de todos los informes tanto de los co-formadores como de los  docentes del taller de práctica, teniendo en cuenta además el desempeño individual y/o grupal a  lo largo del trayecto. 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8" w:line="279" w:lineRule="auto"/>
        <w:ind w:left="11" w:firstLine="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 prevé la realización de una autoevaluación</w:t>
      </w:r>
      <w:r>
        <w:rPr>
          <w:rFonts w:ascii="Calibri" w:eastAsia="Calibri" w:hAnsi="Calibri" w:cs="Calibri"/>
          <w:color w:val="000000"/>
        </w:rPr>
        <w:t xml:space="preserve"> integrando aspectos teóricos-prácticos, como así  también la elaboración de un libro de artista donde se plasme de manera original y creativa el  propio recorrido transitado, desde la instancia de la Observación hasta el Final de las Prácticas.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18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Condicion</w:t>
      </w:r>
      <w:r>
        <w:rPr>
          <w:rFonts w:ascii="Calibri" w:eastAsia="Calibri" w:hAnsi="Calibri" w:cs="Calibri"/>
          <w:b/>
          <w:i/>
          <w:color w:val="000000"/>
        </w:rPr>
        <w:t xml:space="preserve">es para la Regularidad: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83" w:lineRule="auto"/>
        <w:ind w:left="24" w:right="11" w:hanging="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Van a adquirir la regularidad los alumnos/as que hayan cumplido con todos los Trabajos Prácticos  propuestos y hayan aprobado las Prácticas en el Nivel Primario.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Condiciones para Promocionar</w:t>
      </w:r>
      <w:r>
        <w:rPr>
          <w:rFonts w:ascii="Calibri" w:eastAsia="Calibri" w:hAnsi="Calibri" w:cs="Calibri"/>
          <w:color w:val="000000"/>
        </w:rPr>
        <w:t xml:space="preserve">: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81" w:lineRule="auto"/>
        <w:ind w:left="18" w:right="6" w:firstLine="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El Trayecto de práctica se aprueba con una calificación de 8 (ocho) o más, y un régimen de  asistencia del 75% a las clases virtuales. Como así también una asistencia del 100% a las escuelas  asignadas.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Criterios de evaluación</w:t>
      </w:r>
      <w:r>
        <w:rPr>
          <w:rFonts w:ascii="Calibri" w:eastAsia="Calibri" w:hAnsi="Calibri" w:cs="Calibri"/>
          <w:color w:val="000000"/>
        </w:rPr>
        <w:t xml:space="preserve">: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79" w:lineRule="auto"/>
        <w:ind w:left="732" w:right="2" w:hanging="332"/>
        <w:rPr>
          <w:rFonts w:ascii="Calibri" w:eastAsia="Calibri" w:hAnsi="Calibri" w:cs="Calibri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❖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Diseño y fundamentación sólida de las propuestas didácticas a fin de que las mismas  favorezcan la capacidad expresiva de los estudiantes.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400"/>
        <w:rPr>
          <w:rFonts w:ascii="Calibri" w:eastAsia="Calibri" w:hAnsi="Calibri" w:cs="Calibri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❖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Problematización de las prácticas educativas.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83" w:lineRule="auto"/>
        <w:ind w:left="400" w:right="606"/>
        <w:rPr>
          <w:rFonts w:ascii="Calibri" w:eastAsia="Calibri" w:hAnsi="Calibri" w:cs="Calibri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❖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Pertinencia de las propuestas elaboradas respecto a la realidad áulica e institucional. </w:t>
      </w:r>
      <w:r>
        <w:rPr>
          <w:rFonts w:ascii="Arial Unicode MS" w:eastAsia="Arial Unicode MS" w:hAnsi="Arial Unicode MS" w:cs="Arial Unicode MS"/>
          <w:color w:val="000000"/>
        </w:rPr>
        <w:t>❖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Preparación científica.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79" w:lineRule="auto"/>
        <w:ind w:left="400" w:right="885"/>
        <w:rPr>
          <w:rFonts w:ascii="Calibri" w:eastAsia="Calibri" w:hAnsi="Calibri" w:cs="Calibri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lastRenderedPageBreak/>
        <w:t>❖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Responsabilidad y compromiso en todas las instancias que componen el trayecto. </w:t>
      </w:r>
      <w:r>
        <w:rPr>
          <w:rFonts w:ascii="Arial Unicode MS" w:eastAsia="Arial Unicode MS" w:hAnsi="Arial Unicode MS" w:cs="Arial Unicode MS"/>
          <w:color w:val="000000"/>
        </w:rPr>
        <w:t>❖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Expresión oral y escrita acorde al rol a desempeñar.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400"/>
        <w:rPr>
          <w:rFonts w:ascii="Calibri" w:eastAsia="Calibri" w:hAnsi="Calibri" w:cs="Calibri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❖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Respeto por los tiempos institucionales establecidos.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400"/>
        <w:rPr>
          <w:rFonts w:ascii="Calibri" w:eastAsia="Calibri" w:hAnsi="Calibri" w:cs="Calibri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❖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Actitud participativa y comprometida con pares y docentes.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400"/>
        <w:rPr>
          <w:rFonts w:ascii="Calibri" w:eastAsia="Calibri" w:hAnsi="Calibri" w:cs="Calibri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❖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Respeto por la diversidad.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80" w:lineRule="auto"/>
        <w:ind w:left="743" w:right="7" w:hanging="342"/>
        <w:rPr>
          <w:rFonts w:ascii="Calibri" w:eastAsia="Calibri" w:hAnsi="Calibri" w:cs="Calibri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❖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Flexibilidad para aceptar las sugerencias por parte de docentes del trayecto o de la  institución co-formadora.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400"/>
        <w:rPr>
          <w:rFonts w:ascii="Calibri" w:eastAsia="Calibri" w:hAnsi="Calibri" w:cs="Calibri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❖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Equilibrio emocional.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83" w:lineRule="auto"/>
        <w:ind w:left="738" w:right="3" w:hanging="337"/>
        <w:rPr>
          <w:rFonts w:ascii="Calibri" w:eastAsia="Calibri" w:hAnsi="Calibri" w:cs="Calibri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❖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Presentación original y creativa del trabajo final teórico-práctico (autoevaluación y libro de  artista).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ind w:left="24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Temporalización: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80" w:lineRule="auto"/>
        <w:ind w:left="11" w:right="3" w:firstLine="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 desarrollará durante el ciclo lectivo 2021 en dos instancias: En el primer cuatrimestre  trabajaremos los fundamentos teóricos basados en la Bibliografía que se detalla a continuación  brindándoles a las alumnas/os los aprendizajes necesarios para el ej</w:t>
      </w:r>
      <w:r>
        <w:rPr>
          <w:rFonts w:ascii="Calibri" w:eastAsia="Calibri" w:hAnsi="Calibri" w:cs="Calibri"/>
          <w:color w:val="000000"/>
        </w:rPr>
        <w:t xml:space="preserve">ercicio de sus Prácticas y en el  segundo cuatrimestre las/os estudiantes llevarán a cabo sus respectivas observaciones y prácticas,  a través de una interacción permanente con todo el grupo y con las docentes responsables de la  cátedra.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40" w:lineRule="auto"/>
        <w:ind w:left="14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Bibliografía: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83" w:lineRule="auto"/>
        <w:ind w:left="26" w:right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</w:rPr>
        <w:t xml:space="preserve">.A.P. (Núcleos de Aprendizajes Prioritarios)- Educación Artística- 1° Ciclo, 2° Ciclo y 7° grado de la  Educación Primaria.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40" w:lineRule="auto"/>
        <w:ind w:left="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N.I.C. (Núcleos Interdisciplinarios de Contenidos), Educación Primaria.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79" w:lineRule="auto"/>
        <w:ind w:left="26" w:right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Diseños Curriculares Jurisdiccionales, Educ. Artística- Nivel Primario, Ministerio de Educación de la  Provincia de Santa FE.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8" w:line="280" w:lineRule="auto"/>
        <w:ind w:left="18" w:right="10" w:firstLine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Ministerio de Educación, Educación Inicial "Planificar con Unidades Didácticas y Proyectos",  Gobierno de la provincia de Córdoba</w:t>
      </w:r>
      <w:r>
        <w:rPr>
          <w:rFonts w:ascii="Calibri" w:eastAsia="Calibri" w:hAnsi="Calibri" w:cs="Calibri"/>
          <w:color w:val="000000"/>
        </w:rPr>
        <w:t>.2012.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9" w:lineRule="auto"/>
        <w:ind w:left="24" w:right="3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Ministerio de Educación, "Secuencias Didácticas, reflexiones sobre sus características y aportes  para su diseño", Gobierno de la provincia de Córdoba.2016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AUGUSTOWSKY GABRIELA - El arte en la enseñanza- Ed. Paidós-2012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83" w:lineRule="auto"/>
        <w:ind w:left="26" w:right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BERTA NUM DE NEGRO- La expresión plástica en la escuela primaria- Ed. Magisterio del Río de la  </w:t>
      </w:r>
      <w:r>
        <w:rPr>
          <w:rFonts w:ascii="Calibri" w:eastAsia="Calibri" w:hAnsi="Calibri" w:cs="Calibri"/>
          <w:color w:val="000000"/>
        </w:rPr>
        <w:lastRenderedPageBreak/>
        <w:t xml:space="preserve">Plata-2011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461" w:lineRule="auto"/>
        <w:ind w:left="26" w:right="217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DAVINI M. CRISTINA- La formación en la práctica docente- Edit Paidós 2013 FREIRE PAULO- Pedagogía de la autonomía- Ed. Siglo Veintiuno-2008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left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JACKSON, P. Práctica de la Enseñanza. Ed. Amorrortu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LITWIN, E. El oficio de enseñar. Ed. Paidós.2008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80" w:lineRule="auto"/>
        <w:ind w:left="18" w:right="6" w:firstLine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RATTERO CARINA (Comp)- La escuela inquieta. Explorando nuevas versiones de la enseñanza y del  aprendizaje. Edit. Noveduc-2013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STEIMAN JORGE - Más Didáctica- Ed. Miño y Dávil-2008.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79" w:lineRule="auto"/>
        <w:ind w:left="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SANJURJO L. Y RODRIGUEZ, X. Volver a pensar la clase. Las formas básicas de enseñar. Ed. Homo  Sapiens.2003. </w:t>
      </w:r>
    </w:p>
    <w:p w:rsidR="00825C62" w:rsidRDefault="00B46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5" w:line="240" w:lineRule="auto"/>
        <w:ind w:left="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DOCENTES RESPONSABLES</w:t>
      </w:r>
      <w:r>
        <w:rPr>
          <w:rFonts w:ascii="Calibri" w:eastAsia="Calibri" w:hAnsi="Calibri" w:cs="Calibri"/>
          <w:color w:val="000000"/>
        </w:rPr>
        <w:t>: Lucrecia Loza – Mónica Rodriguez</w:t>
      </w:r>
    </w:p>
    <w:sectPr w:rsidR="00825C62">
      <w:pgSz w:w="12240" w:h="15840"/>
      <w:pgMar w:top="1416" w:right="1651" w:bottom="2184" w:left="169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25C62"/>
    <w:rsid w:val="00825C62"/>
    <w:rsid w:val="00B4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63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63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1877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2021-06-14T21:36:00Z</dcterms:created>
  <dcterms:modified xsi:type="dcterms:W3CDTF">2021-06-14T21:36:00Z</dcterms:modified>
</cp:coreProperties>
</file>