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1792" w14:textId="77777777" w:rsidR="00625BDE" w:rsidRPr="00625BDE" w:rsidRDefault="00625BD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320D2FAD" w14:textId="77777777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3EEABE43" w14:textId="77777777" w:rsidR="00D70F2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INSTITUTO SUPERIOR de PROFESORADO Nº 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7</w:t>
      </w: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 “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ESTANISLAO LÓPEZ</w:t>
      </w: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”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 – VENADO TUERTO</w:t>
      </w:r>
    </w:p>
    <w:p w14:paraId="4E91F5F1" w14:textId="77777777" w:rsidR="00D70F2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50950414" w14:textId="0652FCA2" w:rsidR="00D70F2E" w:rsidRPr="00D076BD" w:rsidRDefault="00D076BD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D076BD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PROGRAMA DE EXÀMEN</w:t>
      </w:r>
    </w:p>
    <w:p w14:paraId="7FCA51D2" w14:textId="77777777" w:rsidR="00D70F2E" w:rsidRPr="00D076BD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0FB1EE56" w14:textId="77777777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CARRERA: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>Profesorado de Educación Secundaria en Ciencias de la Administración</w:t>
      </w:r>
    </w:p>
    <w:p w14:paraId="38111543" w14:textId="77777777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PLAN DECRETO Nº: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>2090/15</w:t>
      </w:r>
    </w:p>
    <w:p w14:paraId="026971C7" w14:textId="49195441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ASIGNATURA: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DERECHO  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II</w:t>
      </w:r>
    </w:p>
    <w:p w14:paraId="223E88E1" w14:textId="77777777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CURSO: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SEGUNDO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AÑO</w:t>
      </w:r>
    </w:p>
    <w:p w14:paraId="5415F250" w14:textId="7B1449C3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PROFESOR/A: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85E92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Dr. Néstor A. </w:t>
      </w:r>
      <w:proofErr w:type="gramStart"/>
      <w:r w:rsidR="00885E92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Mateucci </w:t>
      </w:r>
      <w:r w:rsidRPr="00625BDE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  <w:proofErr w:type="gramEnd"/>
    </w:p>
    <w:p w14:paraId="68FDB7FC" w14:textId="3D0C7520" w:rsidR="00D70F2E" w:rsidRPr="00D14372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</w:pPr>
      <w:r w:rsidRPr="00625BDE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PERÍODO LECTIVO:</w:t>
      </w:r>
      <w:r w:rsidRPr="00625B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85E92">
        <w:rPr>
          <w:rFonts w:ascii="Arial" w:eastAsia="Times New Roman" w:hAnsi="Arial" w:cs="Arial"/>
          <w:i/>
          <w:sz w:val="24"/>
          <w:szCs w:val="24"/>
          <w:lang w:eastAsia="es-ES"/>
        </w:rPr>
        <w:t>2022</w:t>
      </w:r>
      <w:r w:rsidR="00D14372" w:rsidRPr="00D14372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 xml:space="preserve"> </w:t>
      </w:r>
    </w:p>
    <w:p w14:paraId="68881EFA" w14:textId="77777777" w:rsidR="00D70F2E" w:rsidRPr="00625BDE" w:rsidRDefault="00D70F2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35001947" w14:textId="77777777" w:rsidR="00625BDE" w:rsidRPr="00625BDE" w:rsidRDefault="00625BDE" w:rsidP="007E4683">
      <w:pPr>
        <w:pBdr>
          <w:top w:val="thickThinLargeGap" w:sz="24" w:space="4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14:paraId="2A74F111" w14:textId="77777777" w:rsidR="00625BDE" w:rsidRDefault="00625BDE" w:rsidP="009029D5">
      <w:pPr>
        <w:pStyle w:val="Default"/>
        <w:spacing w:line="360" w:lineRule="auto"/>
        <w:ind w:firstLine="708"/>
        <w:jc w:val="right"/>
        <w:rPr>
          <w:i/>
          <w:color w:val="auto"/>
          <w:spacing w:val="-2"/>
          <w:lang w:eastAsia="es-AR"/>
        </w:rPr>
      </w:pPr>
    </w:p>
    <w:p w14:paraId="4BA9E626" w14:textId="5CA520B3" w:rsidR="00AF7EC1" w:rsidRPr="007C685A" w:rsidRDefault="00AE75B9" w:rsidP="009029D5">
      <w:pPr>
        <w:pStyle w:val="Default"/>
        <w:spacing w:line="360" w:lineRule="auto"/>
        <w:ind w:firstLine="708"/>
        <w:jc w:val="right"/>
        <w:rPr>
          <w:i/>
          <w:color w:val="auto"/>
          <w:spacing w:val="-2"/>
          <w:lang w:eastAsia="es-AR"/>
        </w:rPr>
      </w:pPr>
      <w:r w:rsidRPr="007C685A">
        <w:rPr>
          <w:i/>
          <w:color w:val="auto"/>
          <w:spacing w:val="-2"/>
          <w:lang w:eastAsia="es-AR"/>
        </w:rPr>
        <w:t>“</w:t>
      </w:r>
    </w:p>
    <w:p w14:paraId="1FF82364" w14:textId="77777777" w:rsidR="00AF7EC1" w:rsidRPr="001F724D" w:rsidRDefault="00AF7EC1" w:rsidP="009029D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F724D">
        <w:rPr>
          <w:rFonts w:ascii="Arial" w:hAnsi="Arial" w:cs="Arial"/>
          <w:b/>
          <w:color w:val="000000"/>
          <w:sz w:val="24"/>
          <w:szCs w:val="24"/>
          <w:u w:val="single"/>
        </w:rPr>
        <w:t>Contenidos</w:t>
      </w:r>
    </w:p>
    <w:p w14:paraId="0D726F80" w14:textId="0F3E82F8" w:rsidR="00AF7EC1" w:rsidRDefault="000F1359" w:rsidP="009029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Eje: </w:t>
      </w:r>
      <w:r w:rsidR="00AF7EC1" w:rsidRPr="00A06A85">
        <w:rPr>
          <w:rFonts w:ascii="Arial" w:hAnsi="Arial" w:cs="Arial"/>
          <w:i/>
          <w:color w:val="000000"/>
          <w:sz w:val="24"/>
          <w:szCs w:val="24"/>
          <w:u w:val="single"/>
        </w:rPr>
        <w:t>El régimen jurídico de las organizaciones, legislación acerca de sus activos intangibles y consecuencias jurídicas de su liquidación</w:t>
      </w:r>
      <w:r w:rsidR="00015D50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: </w:t>
      </w:r>
      <w:r w:rsidR="00AF7EC1" w:rsidRPr="00A06A85">
        <w:rPr>
          <w:rFonts w:ascii="Arial" w:hAnsi="Arial" w:cs="Arial"/>
          <w:color w:val="000000"/>
          <w:sz w:val="24"/>
          <w:szCs w:val="24"/>
        </w:rPr>
        <w:t>Asociaciones civiles, Consorcios, Fundaciones, Mutuales y cooperativas.</w:t>
      </w:r>
      <w:r w:rsidR="00E378F6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  <w:r w:rsidR="00AF7EC1" w:rsidRPr="00A06A85">
        <w:rPr>
          <w:rFonts w:ascii="Arial" w:hAnsi="Arial" w:cs="Arial"/>
          <w:color w:val="000000"/>
          <w:sz w:val="24"/>
          <w:szCs w:val="24"/>
        </w:rPr>
        <w:t>El régimen de sociedades conforme la reforma del Código Civil y Comercial. Ley N° 26887/15, sociedad unipersonal, sociedad colectiva; sociedad en comandita; sociedad de responsabilidad limitada; sociedad anónima; socie</w:t>
      </w:r>
      <w:r w:rsidR="00816503">
        <w:rPr>
          <w:rFonts w:ascii="Arial" w:hAnsi="Arial" w:cs="Arial"/>
          <w:color w:val="000000"/>
          <w:sz w:val="24"/>
          <w:szCs w:val="24"/>
        </w:rPr>
        <w:t xml:space="preserve">dades </w:t>
      </w:r>
      <w:r w:rsidR="00F649CC">
        <w:rPr>
          <w:rFonts w:ascii="Arial" w:hAnsi="Arial" w:cs="Arial"/>
          <w:color w:val="000000"/>
          <w:sz w:val="24"/>
          <w:szCs w:val="24"/>
        </w:rPr>
        <w:t>civiles.</w:t>
      </w:r>
      <w:r w:rsidR="00E378F6">
        <w:rPr>
          <w:rFonts w:ascii="Arial" w:hAnsi="Arial" w:cs="Arial"/>
          <w:color w:val="000000"/>
          <w:sz w:val="24"/>
          <w:szCs w:val="24"/>
        </w:rPr>
        <w:t xml:space="preserve"> </w:t>
      </w:r>
      <w:r w:rsidR="00AF7EC1" w:rsidRPr="00A06A85">
        <w:rPr>
          <w:rFonts w:ascii="Arial" w:hAnsi="Arial" w:cs="Arial"/>
          <w:color w:val="000000"/>
          <w:sz w:val="24"/>
          <w:szCs w:val="24"/>
        </w:rPr>
        <w:t xml:space="preserve">Transferencia de fondos de comercio, llave de negocio, propiedad intelectual. Marcas y Patentes. </w:t>
      </w:r>
    </w:p>
    <w:p w14:paraId="09A4DC22" w14:textId="7C294253" w:rsidR="000819D0" w:rsidRPr="00015D50" w:rsidRDefault="000819D0" w:rsidP="009029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F649CC">
        <w:rPr>
          <w:rFonts w:ascii="Arial" w:hAnsi="Arial" w:cs="Arial"/>
          <w:color w:val="000000"/>
          <w:sz w:val="24"/>
          <w:szCs w:val="24"/>
          <w:u w:val="single"/>
        </w:rPr>
        <w:t xml:space="preserve">Eje: </w:t>
      </w:r>
      <w:r w:rsidR="00F649CC" w:rsidRPr="00F649CC">
        <w:rPr>
          <w:rFonts w:ascii="Arial" w:hAnsi="Arial" w:cs="Arial"/>
          <w:color w:val="000000"/>
          <w:sz w:val="24"/>
          <w:szCs w:val="24"/>
          <w:u w:val="single"/>
        </w:rPr>
        <w:t>La contratación como una práctica comercial y la responsabilidad Civil</w:t>
      </w:r>
      <w:r w:rsidR="00F649CC">
        <w:rPr>
          <w:rFonts w:ascii="Arial" w:hAnsi="Arial" w:cs="Arial"/>
          <w:color w:val="000000"/>
          <w:sz w:val="24"/>
          <w:szCs w:val="24"/>
        </w:rPr>
        <w:t xml:space="preserve"> Unificación de los contratos Civiles y Comerciales. Compraventa. Permuta. Suministro. Locación. Locación de Servicios. Mandato. Mutuo. Comodato. Donación. Fianza, renta Vitalicia. Contratos incorporados con la Reforma. Leasing (ley 25248) Fideicomiso (ley 24.441</w:t>
      </w:r>
      <w:proofErr w:type="gramStart"/>
      <w:r w:rsidR="00F649CC">
        <w:rPr>
          <w:rFonts w:ascii="Arial" w:hAnsi="Arial" w:cs="Arial"/>
          <w:color w:val="000000"/>
          <w:sz w:val="24"/>
          <w:szCs w:val="24"/>
        </w:rPr>
        <w:t>) .</w:t>
      </w:r>
      <w:proofErr w:type="gramEnd"/>
      <w:r w:rsidR="00F649CC">
        <w:rPr>
          <w:rFonts w:ascii="Arial" w:hAnsi="Arial" w:cs="Arial"/>
          <w:color w:val="000000"/>
          <w:sz w:val="24"/>
          <w:szCs w:val="24"/>
        </w:rPr>
        <w:t xml:space="preserve"> Responsabilidad Civil. Responsabilidad Civil en las distintas profesiones.</w:t>
      </w:r>
    </w:p>
    <w:p w14:paraId="7A2C2F81" w14:textId="4571C976" w:rsidR="00AF7EC1" w:rsidRPr="00015D50" w:rsidRDefault="000F1359" w:rsidP="009029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Eje: </w:t>
      </w:r>
      <w:r w:rsidR="00AF7EC1" w:rsidRPr="00A06A85">
        <w:rPr>
          <w:rFonts w:ascii="Arial" w:hAnsi="Arial" w:cs="Arial"/>
          <w:i/>
          <w:color w:val="000000"/>
          <w:sz w:val="24"/>
          <w:szCs w:val="24"/>
          <w:u w:val="single"/>
        </w:rPr>
        <w:t>La relación de dependencia en lo laboral y las consecuencias jurídicas derivadas de la misma</w:t>
      </w:r>
      <w:r w:rsidR="00015D50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: </w:t>
      </w:r>
      <w:r w:rsidR="00AF7EC1" w:rsidRPr="00A06A85">
        <w:rPr>
          <w:rFonts w:ascii="Arial" w:hAnsi="Arial" w:cs="Arial"/>
          <w:color w:val="000000"/>
          <w:sz w:val="24"/>
          <w:szCs w:val="24"/>
        </w:rPr>
        <w:t>Trabajo y empleo. Nuevas modalidades de contratación y el impacto de las Tics en las mismas.</w:t>
      </w:r>
      <w:r w:rsidR="006207E0">
        <w:rPr>
          <w:rFonts w:ascii="Arial" w:hAnsi="Arial" w:cs="Arial"/>
          <w:color w:val="000000"/>
          <w:sz w:val="24"/>
          <w:szCs w:val="24"/>
        </w:rPr>
        <w:t xml:space="preserve"> El “teletrabajo”.</w:t>
      </w:r>
      <w:r w:rsidR="00AF7EC1" w:rsidRPr="00A06A85">
        <w:rPr>
          <w:rFonts w:ascii="Arial" w:hAnsi="Arial" w:cs="Arial"/>
          <w:color w:val="000000"/>
          <w:sz w:val="24"/>
          <w:szCs w:val="24"/>
        </w:rPr>
        <w:t xml:space="preserve"> La protección del trabajador en relación de dependencia. Marco Normativo de la Ley de Contrato de Trabajo. Jornada de trabajo, remuneración. Protección de jóvenes y mujeres en el trabajo. El empleo no registrado y la seguridad social. La agremiación de los trabajadores y su protección constitucional. </w:t>
      </w:r>
    </w:p>
    <w:p w14:paraId="0C2755F0" w14:textId="00A3F9C4" w:rsidR="00AF7EC1" w:rsidRPr="00015D50" w:rsidRDefault="000F1359" w:rsidP="009029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Eje: </w:t>
      </w:r>
      <w:r w:rsidR="00AF7EC1" w:rsidRPr="00A06A85">
        <w:rPr>
          <w:rFonts w:ascii="Arial" w:hAnsi="Arial" w:cs="Arial"/>
          <w:i/>
          <w:color w:val="000000"/>
          <w:sz w:val="24"/>
          <w:szCs w:val="24"/>
          <w:u w:val="single"/>
        </w:rPr>
        <w:t>Principios del dere</w:t>
      </w:r>
      <w:r w:rsidR="00015D50">
        <w:rPr>
          <w:rFonts w:ascii="Arial" w:hAnsi="Arial" w:cs="Arial"/>
          <w:i/>
          <w:color w:val="000000"/>
          <w:sz w:val="24"/>
          <w:szCs w:val="24"/>
          <w:u w:val="single"/>
        </w:rPr>
        <w:t>cho</w:t>
      </w:r>
      <w:r w:rsidR="00012C0D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  <w:r w:rsidR="00F649CC">
        <w:rPr>
          <w:rFonts w:ascii="Arial" w:hAnsi="Arial" w:cs="Arial"/>
          <w:i/>
          <w:color w:val="000000"/>
          <w:sz w:val="24"/>
          <w:szCs w:val="24"/>
          <w:u w:val="single"/>
        </w:rPr>
        <w:t>penal.</w:t>
      </w:r>
      <w:r w:rsidR="00012C0D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Principios del derecho administrativo  </w:t>
      </w:r>
      <w:r w:rsidR="00015D50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y tributario: </w:t>
      </w:r>
      <w:r w:rsidR="00012C0D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  <w:r w:rsidR="006A453D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Distintos delitos penales relacionados a la actividad económica y mercantil </w:t>
      </w:r>
      <w:r w:rsidR="00816503">
        <w:rPr>
          <w:rFonts w:ascii="Arial" w:hAnsi="Arial" w:cs="Arial"/>
          <w:i/>
          <w:color w:val="000000"/>
          <w:sz w:val="24"/>
          <w:szCs w:val="24"/>
          <w:u w:val="single"/>
        </w:rPr>
        <w:t>Investigación, la</w:t>
      </w:r>
      <w:r w:rsidR="006A453D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tarea de los jueces</w:t>
      </w:r>
      <w:r w:rsidR="00816503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La actividad investigativa penal. </w:t>
      </w:r>
      <w:r w:rsidR="00F649CC">
        <w:rPr>
          <w:rFonts w:ascii="Arial" w:hAnsi="Arial" w:cs="Arial"/>
          <w:i/>
          <w:color w:val="000000"/>
          <w:sz w:val="24"/>
          <w:szCs w:val="24"/>
          <w:u w:val="single"/>
        </w:rPr>
        <w:t>Evasión</w:t>
      </w:r>
      <w:r w:rsidR="00816503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  <w:r w:rsidR="00F649CC">
        <w:rPr>
          <w:rFonts w:ascii="Arial" w:hAnsi="Arial" w:cs="Arial"/>
          <w:i/>
          <w:color w:val="000000"/>
          <w:sz w:val="24"/>
          <w:szCs w:val="24"/>
          <w:u w:val="single"/>
        </w:rPr>
        <w:t>impositiva.</w:t>
      </w:r>
      <w:r w:rsidR="006A453D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  <w:r w:rsidR="0027107B">
        <w:rPr>
          <w:rFonts w:ascii="Arial" w:hAnsi="Arial" w:cs="Arial"/>
          <w:color w:val="000000"/>
          <w:sz w:val="24"/>
          <w:szCs w:val="24"/>
        </w:rPr>
        <w:t>Tributos: I</w:t>
      </w:r>
      <w:r w:rsidR="00AF7EC1" w:rsidRPr="00A06A85">
        <w:rPr>
          <w:rFonts w:ascii="Arial" w:hAnsi="Arial" w:cs="Arial"/>
          <w:color w:val="000000"/>
          <w:sz w:val="24"/>
          <w:szCs w:val="24"/>
        </w:rPr>
        <w:t>mpuestos, tasas y contribuciones. Empleo público y regulación constitucional. Igualdad, estabilidad e idoneidad en el derecho administrativo.</w:t>
      </w:r>
      <w:r w:rsidR="00E378F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F4A688" w14:textId="77777777" w:rsidR="009A158E" w:rsidRDefault="009A158E" w:rsidP="00EC3D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A158E" w:rsidSect="007E4683">
      <w:pgSz w:w="12240" w:h="20160" w:code="5"/>
      <w:pgMar w:top="1440" w:right="118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20DD"/>
    <w:multiLevelType w:val="hybridMultilevel"/>
    <w:tmpl w:val="4378BC1E"/>
    <w:lvl w:ilvl="0" w:tplc="7C60FD5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170787">
    <w:abstractNumId w:val="0"/>
  </w:num>
  <w:num w:numId="2" w16cid:durableId="13400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C1"/>
    <w:rsid w:val="00004419"/>
    <w:rsid w:val="00012C0D"/>
    <w:rsid w:val="00015D50"/>
    <w:rsid w:val="000254CD"/>
    <w:rsid w:val="00035BA9"/>
    <w:rsid w:val="0006078C"/>
    <w:rsid w:val="000819D0"/>
    <w:rsid w:val="000839BE"/>
    <w:rsid w:val="0009207E"/>
    <w:rsid w:val="000935E0"/>
    <w:rsid w:val="000B0E17"/>
    <w:rsid w:val="000D281B"/>
    <w:rsid w:val="000D7BB2"/>
    <w:rsid w:val="000E59D2"/>
    <w:rsid w:val="000F1359"/>
    <w:rsid w:val="0011301D"/>
    <w:rsid w:val="001156F0"/>
    <w:rsid w:val="001177C7"/>
    <w:rsid w:val="00161B0E"/>
    <w:rsid w:val="0016486E"/>
    <w:rsid w:val="001824B1"/>
    <w:rsid w:val="001908FC"/>
    <w:rsid w:val="00193E3B"/>
    <w:rsid w:val="00195425"/>
    <w:rsid w:val="0019610B"/>
    <w:rsid w:val="001B02A0"/>
    <w:rsid w:val="001C5EC0"/>
    <w:rsid w:val="001D2498"/>
    <w:rsid w:val="001D6717"/>
    <w:rsid w:val="001F724D"/>
    <w:rsid w:val="00215182"/>
    <w:rsid w:val="0021527E"/>
    <w:rsid w:val="00223A05"/>
    <w:rsid w:val="002300CF"/>
    <w:rsid w:val="0023014F"/>
    <w:rsid w:val="002341DB"/>
    <w:rsid w:val="002370F7"/>
    <w:rsid w:val="00240DE1"/>
    <w:rsid w:val="00242F4E"/>
    <w:rsid w:val="0024787E"/>
    <w:rsid w:val="00251DF0"/>
    <w:rsid w:val="00264442"/>
    <w:rsid w:val="0027107B"/>
    <w:rsid w:val="0029043E"/>
    <w:rsid w:val="00293CE1"/>
    <w:rsid w:val="002A6CF8"/>
    <w:rsid w:val="0030756A"/>
    <w:rsid w:val="00311901"/>
    <w:rsid w:val="003530F2"/>
    <w:rsid w:val="00387CC6"/>
    <w:rsid w:val="00393386"/>
    <w:rsid w:val="003B1E4B"/>
    <w:rsid w:val="003F05CC"/>
    <w:rsid w:val="0040291A"/>
    <w:rsid w:val="0040581D"/>
    <w:rsid w:val="00437D6D"/>
    <w:rsid w:val="004435D3"/>
    <w:rsid w:val="00450A1B"/>
    <w:rsid w:val="00461070"/>
    <w:rsid w:val="004916B1"/>
    <w:rsid w:val="00491B94"/>
    <w:rsid w:val="004952F4"/>
    <w:rsid w:val="00497C0F"/>
    <w:rsid w:val="004A76DF"/>
    <w:rsid w:val="004B4AE3"/>
    <w:rsid w:val="004C0D91"/>
    <w:rsid w:val="004C4456"/>
    <w:rsid w:val="004C6FAD"/>
    <w:rsid w:val="004D6FBE"/>
    <w:rsid w:val="004E5963"/>
    <w:rsid w:val="004E7455"/>
    <w:rsid w:val="004F5019"/>
    <w:rsid w:val="0050376F"/>
    <w:rsid w:val="00507F61"/>
    <w:rsid w:val="005145BF"/>
    <w:rsid w:val="005668EB"/>
    <w:rsid w:val="00594345"/>
    <w:rsid w:val="005A0A2E"/>
    <w:rsid w:val="005A12FE"/>
    <w:rsid w:val="005A18C1"/>
    <w:rsid w:val="005A5E6D"/>
    <w:rsid w:val="005B55D3"/>
    <w:rsid w:val="005E21AD"/>
    <w:rsid w:val="005F14D5"/>
    <w:rsid w:val="005F511E"/>
    <w:rsid w:val="00603076"/>
    <w:rsid w:val="00607627"/>
    <w:rsid w:val="006143D1"/>
    <w:rsid w:val="006207E0"/>
    <w:rsid w:val="0062443F"/>
    <w:rsid w:val="00625BDE"/>
    <w:rsid w:val="00635BB2"/>
    <w:rsid w:val="00636DA3"/>
    <w:rsid w:val="00640FDB"/>
    <w:rsid w:val="00661C6C"/>
    <w:rsid w:val="0067668E"/>
    <w:rsid w:val="006A453D"/>
    <w:rsid w:val="006C36CA"/>
    <w:rsid w:val="006C5325"/>
    <w:rsid w:val="00706025"/>
    <w:rsid w:val="00715DEE"/>
    <w:rsid w:val="0075628D"/>
    <w:rsid w:val="00774BDC"/>
    <w:rsid w:val="00780653"/>
    <w:rsid w:val="00780A4A"/>
    <w:rsid w:val="0079354B"/>
    <w:rsid w:val="007A4E52"/>
    <w:rsid w:val="007A655E"/>
    <w:rsid w:val="007C685A"/>
    <w:rsid w:val="007C7FDD"/>
    <w:rsid w:val="007D27F7"/>
    <w:rsid w:val="007D5541"/>
    <w:rsid w:val="007D579D"/>
    <w:rsid w:val="007E0B1C"/>
    <w:rsid w:val="007E4683"/>
    <w:rsid w:val="007F7092"/>
    <w:rsid w:val="00805A0F"/>
    <w:rsid w:val="008113B2"/>
    <w:rsid w:val="00816503"/>
    <w:rsid w:val="008355AF"/>
    <w:rsid w:val="00835B86"/>
    <w:rsid w:val="0084296F"/>
    <w:rsid w:val="008444FF"/>
    <w:rsid w:val="00866BB8"/>
    <w:rsid w:val="0087047A"/>
    <w:rsid w:val="00885E92"/>
    <w:rsid w:val="008B60E4"/>
    <w:rsid w:val="008D4790"/>
    <w:rsid w:val="008D59D1"/>
    <w:rsid w:val="008E1AA4"/>
    <w:rsid w:val="008E4C29"/>
    <w:rsid w:val="008F6C61"/>
    <w:rsid w:val="009029D5"/>
    <w:rsid w:val="009203D6"/>
    <w:rsid w:val="00950041"/>
    <w:rsid w:val="0095113A"/>
    <w:rsid w:val="0096294C"/>
    <w:rsid w:val="00963CFA"/>
    <w:rsid w:val="00976E04"/>
    <w:rsid w:val="009779EC"/>
    <w:rsid w:val="0099136F"/>
    <w:rsid w:val="00997B68"/>
    <w:rsid w:val="009A06B9"/>
    <w:rsid w:val="009A158E"/>
    <w:rsid w:val="009C28E5"/>
    <w:rsid w:val="00A06085"/>
    <w:rsid w:val="00A178A5"/>
    <w:rsid w:val="00A2451F"/>
    <w:rsid w:val="00A808AC"/>
    <w:rsid w:val="00A9174B"/>
    <w:rsid w:val="00AB283C"/>
    <w:rsid w:val="00AB4CE8"/>
    <w:rsid w:val="00AB5B20"/>
    <w:rsid w:val="00AC6F3C"/>
    <w:rsid w:val="00AE5402"/>
    <w:rsid w:val="00AE6573"/>
    <w:rsid w:val="00AE75B9"/>
    <w:rsid w:val="00AF00B1"/>
    <w:rsid w:val="00AF7EC1"/>
    <w:rsid w:val="00B03059"/>
    <w:rsid w:val="00B21532"/>
    <w:rsid w:val="00B277F3"/>
    <w:rsid w:val="00B31ECA"/>
    <w:rsid w:val="00B32BB4"/>
    <w:rsid w:val="00B553A3"/>
    <w:rsid w:val="00B55A46"/>
    <w:rsid w:val="00B578D3"/>
    <w:rsid w:val="00B624D4"/>
    <w:rsid w:val="00B97812"/>
    <w:rsid w:val="00BB4B4A"/>
    <w:rsid w:val="00BD0C2F"/>
    <w:rsid w:val="00BD5500"/>
    <w:rsid w:val="00BD6990"/>
    <w:rsid w:val="00BF6201"/>
    <w:rsid w:val="00BF661E"/>
    <w:rsid w:val="00C0145D"/>
    <w:rsid w:val="00C200AF"/>
    <w:rsid w:val="00C2269B"/>
    <w:rsid w:val="00C42A5D"/>
    <w:rsid w:val="00C4400C"/>
    <w:rsid w:val="00C465A4"/>
    <w:rsid w:val="00C50F25"/>
    <w:rsid w:val="00C735D1"/>
    <w:rsid w:val="00C75A16"/>
    <w:rsid w:val="00C84B9B"/>
    <w:rsid w:val="00CA2B24"/>
    <w:rsid w:val="00CA45F0"/>
    <w:rsid w:val="00CC0360"/>
    <w:rsid w:val="00CF3627"/>
    <w:rsid w:val="00D076BD"/>
    <w:rsid w:val="00D14372"/>
    <w:rsid w:val="00D173B9"/>
    <w:rsid w:val="00D35487"/>
    <w:rsid w:val="00D53DBF"/>
    <w:rsid w:val="00D7071D"/>
    <w:rsid w:val="00D70F2E"/>
    <w:rsid w:val="00D9076E"/>
    <w:rsid w:val="00D914A2"/>
    <w:rsid w:val="00DA196B"/>
    <w:rsid w:val="00DA1D00"/>
    <w:rsid w:val="00DA4B47"/>
    <w:rsid w:val="00DD3BC9"/>
    <w:rsid w:val="00DD626E"/>
    <w:rsid w:val="00DE33D8"/>
    <w:rsid w:val="00DE3CDF"/>
    <w:rsid w:val="00DE7477"/>
    <w:rsid w:val="00E3563D"/>
    <w:rsid w:val="00E378F6"/>
    <w:rsid w:val="00E54335"/>
    <w:rsid w:val="00E747D8"/>
    <w:rsid w:val="00E74E5A"/>
    <w:rsid w:val="00E97A3C"/>
    <w:rsid w:val="00EC3DC1"/>
    <w:rsid w:val="00ED1335"/>
    <w:rsid w:val="00ED570C"/>
    <w:rsid w:val="00EE6AF7"/>
    <w:rsid w:val="00F03F2E"/>
    <w:rsid w:val="00F101D4"/>
    <w:rsid w:val="00F176BE"/>
    <w:rsid w:val="00F3013A"/>
    <w:rsid w:val="00F32757"/>
    <w:rsid w:val="00F47001"/>
    <w:rsid w:val="00F508D6"/>
    <w:rsid w:val="00F601FE"/>
    <w:rsid w:val="00F635EC"/>
    <w:rsid w:val="00F649CC"/>
    <w:rsid w:val="00F84307"/>
    <w:rsid w:val="00F8507F"/>
    <w:rsid w:val="00F92693"/>
    <w:rsid w:val="00FC4556"/>
    <w:rsid w:val="00FD1168"/>
    <w:rsid w:val="00FD3FCE"/>
    <w:rsid w:val="00FD745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211F"/>
  <w15:docId w15:val="{C745CAEB-9415-4F6B-8498-E860D6DC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8E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F7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F7E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20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9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</cp:lastModifiedBy>
  <cp:revision>2</cp:revision>
  <cp:lastPrinted>2022-05-10T17:29:00Z</cp:lastPrinted>
  <dcterms:created xsi:type="dcterms:W3CDTF">2022-11-10T22:55:00Z</dcterms:created>
  <dcterms:modified xsi:type="dcterms:W3CDTF">2022-11-10T22:55:00Z</dcterms:modified>
</cp:coreProperties>
</file>