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453" w:rsidRPr="00551453" w:rsidRDefault="00551453" w:rsidP="00551453">
      <w:pPr>
        <w:jc w:val="both"/>
        <w:rPr>
          <w:rFonts w:ascii="Arial" w:hAnsi="Arial" w:cs="Arial"/>
          <w:b/>
          <w:color w:val="C00000"/>
          <w:sz w:val="24"/>
          <w:szCs w:val="24"/>
        </w:rPr>
      </w:pPr>
      <w:r>
        <w:t xml:space="preserve">                                                      </w:t>
      </w:r>
      <w:bookmarkStart w:id="0" w:name="_GoBack"/>
      <w:bookmarkEnd w:id="0"/>
      <w:r>
        <w:t xml:space="preserve">                                                               </w:t>
      </w:r>
      <w:r>
        <w:rPr>
          <w:noProof/>
          <w:lang w:eastAsia="es-AR"/>
        </w:rPr>
        <w:drawing>
          <wp:inline distT="0" distB="0" distL="0" distR="0" wp14:anchorId="79DB7185" wp14:editId="729EEA0F">
            <wp:extent cx="1670685" cy="1670685"/>
            <wp:effectExtent l="0" t="0" r="5715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51453">
        <w:rPr>
          <w:rFonts w:ascii="Arial" w:hAnsi="Arial" w:cs="Arial"/>
          <w:b/>
          <w:color w:val="C00000"/>
          <w:sz w:val="24"/>
          <w:szCs w:val="24"/>
        </w:rPr>
        <w:t>INSTITUTO DE EDUCACIÓN SUPERIOR   Nº 7</w:t>
      </w:r>
    </w:p>
    <w:p w:rsidR="00551453" w:rsidRPr="00551453" w:rsidRDefault="00551453" w:rsidP="00551453">
      <w:pPr>
        <w:jc w:val="both"/>
        <w:rPr>
          <w:rFonts w:ascii="Arial" w:hAnsi="Arial" w:cs="Arial"/>
          <w:b/>
          <w:color w:val="C00000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</w:rPr>
        <w:t>” Brigadier Estanislao López”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CARRERA:</w:t>
      </w:r>
      <w:r w:rsidRPr="00551453">
        <w:rPr>
          <w:rFonts w:ascii="Arial" w:hAnsi="Arial" w:cs="Arial"/>
          <w:color w:val="C00000"/>
          <w:sz w:val="24"/>
          <w:szCs w:val="24"/>
        </w:rPr>
        <w:t xml:space="preserve"> </w:t>
      </w:r>
      <w:r w:rsidRPr="00551453">
        <w:rPr>
          <w:rFonts w:ascii="Arial" w:hAnsi="Arial" w:cs="Arial"/>
          <w:sz w:val="24"/>
          <w:szCs w:val="24"/>
        </w:rPr>
        <w:t xml:space="preserve">Profesorado de Artes Visuales con Orientación en </w:t>
      </w:r>
      <w:proofErr w:type="spellStart"/>
      <w:r w:rsidRPr="00551453">
        <w:rPr>
          <w:rFonts w:ascii="Arial" w:hAnsi="Arial" w:cs="Arial"/>
          <w:sz w:val="24"/>
          <w:szCs w:val="24"/>
        </w:rPr>
        <w:t>Produccion</w:t>
      </w:r>
      <w:proofErr w:type="spellEnd"/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PLAN/ DECRETO Nº 293/16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UNIDAD CURRICULAR:</w:t>
      </w:r>
      <w:r w:rsidRPr="00551453">
        <w:rPr>
          <w:rFonts w:ascii="Arial" w:hAnsi="Arial" w:cs="Arial"/>
          <w:color w:val="C00000"/>
          <w:sz w:val="24"/>
          <w:szCs w:val="24"/>
        </w:rPr>
        <w:t xml:space="preserve"> </w:t>
      </w:r>
      <w:r w:rsidRPr="00551453">
        <w:rPr>
          <w:rFonts w:ascii="Arial" w:hAnsi="Arial" w:cs="Arial"/>
          <w:sz w:val="24"/>
          <w:szCs w:val="24"/>
        </w:rPr>
        <w:t>ESTETICA (UCCV)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RÉGIMEN DE CURSADO:</w:t>
      </w:r>
      <w:r w:rsidRPr="00551453">
        <w:rPr>
          <w:rFonts w:ascii="Arial" w:hAnsi="Arial" w:cs="Arial"/>
          <w:color w:val="C00000"/>
          <w:sz w:val="24"/>
          <w:szCs w:val="24"/>
        </w:rPr>
        <w:t xml:space="preserve"> </w:t>
      </w:r>
      <w:r w:rsidRPr="00551453">
        <w:rPr>
          <w:rFonts w:ascii="Arial" w:hAnsi="Arial" w:cs="Arial"/>
          <w:sz w:val="24"/>
          <w:szCs w:val="24"/>
        </w:rPr>
        <w:t>ANUAL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FORMATO CURRICULAR:</w:t>
      </w:r>
      <w:r w:rsidRPr="00551453">
        <w:rPr>
          <w:rFonts w:ascii="Arial" w:hAnsi="Arial" w:cs="Arial"/>
          <w:color w:val="C00000"/>
          <w:sz w:val="24"/>
          <w:szCs w:val="24"/>
        </w:rPr>
        <w:t xml:space="preserve"> </w:t>
      </w:r>
      <w:r w:rsidRPr="00551453">
        <w:rPr>
          <w:rFonts w:ascii="Arial" w:hAnsi="Arial" w:cs="Arial"/>
          <w:sz w:val="24"/>
          <w:szCs w:val="24"/>
        </w:rPr>
        <w:t>MATERIA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UBICACIÓN EN EL DISEÑO CURRICULAR:</w:t>
      </w:r>
      <w:r w:rsidRPr="00551453">
        <w:rPr>
          <w:rFonts w:ascii="Arial" w:hAnsi="Arial" w:cs="Arial"/>
          <w:sz w:val="24"/>
          <w:szCs w:val="24"/>
        </w:rPr>
        <w:t xml:space="preserve"> CUARTO  AÑO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Asignación horaria semanal y total para el estudiante: 3 </w:t>
      </w:r>
      <w:proofErr w:type="spellStart"/>
      <w:r w:rsidRPr="00551453">
        <w:rPr>
          <w:rFonts w:ascii="Arial" w:hAnsi="Arial" w:cs="Arial"/>
          <w:sz w:val="24"/>
          <w:szCs w:val="24"/>
        </w:rPr>
        <w:t>hs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semanales/ 96 </w:t>
      </w:r>
      <w:proofErr w:type="spellStart"/>
      <w:r w:rsidRPr="00551453">
        <w:rPr>
          <w:rFonts w:ascii="Arial" w:hAnsi="Arial" w:cs="Arial"/>
          <w:sz w:val="24"/>
          <w:szCs w:val="24"/>
        </w:rPr>
        <w:t>hs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anuales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 xml:space="preserve">CARÁCTER: </w:t>
      </w:r>
      <w:r w:rsidRPr="00551453">
        <w:rPr>
          <w:rFonts w:ascii="Arial" w:hAnsi="Arial" w:cs="Arial"/>
          <w:sz w:val="24"/>
          <w:szCs w:val="24"/>
        </w:rPr>
        <w:t>REGULAR-PRESENCIAL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 xml:space="preserve">DOCENTE: </w:t>
      </w:r>
      <w:r w:rsidRPr="00551453">
        <w:rPr>
          <w:rFonts w:ascii="Arial" w:hAnsi="Arial" w:cs="Arial"/>
          <w:sz w:val="24"/>
          <w:szCs w:val="24"/>
        </w:rPr>
        <w:t>MONICA RODRIGUEZ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CICLO LECTIVO:</w:t>
      </w:r>
      <w:r w:rsidRPr="00551453">
        <w:rPr>
          <w:rFonts w:ascii="Arial" w:hAnsi="Arial" w:cs="Arial"/>
          <w:color w:val="C00000"/>
          <w:sz w:val="24"/>
          <w:szCs w:val="24"/>
        </w:rPr>
        <w:t xml:space="preserve"> </w:t>
      </w:r>
      <w:r w:rsidRPr="00551453">
        <w:rPr>
          <w:rFonts w:ascii="Arial" w:hAnsi="Arial" w:cs="Arial"/>
          <w:sz w:val="24"/>
          <w:szCs w:val="24"/>
        </w:rPr>
        <w:t>2025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814872" w:rsidRPr="00551453" w:rsidRDefault="00717E8E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b/>
          <w:color w:val="C00000"/>
          <w:sz w:val="24"/>
          <w:szCs w:val="24"/>
          <w:u w:val="single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CONTENIDOS:</w:t>
      </w:r>
    </w:p>
    <w:p w:rsidR="00551453" w:rsidRPr="00551453" w:rsidRDefault="00551453" w:rsidP="00551453">
      <w:pPr>
        <w:jc w:val="both"/>
        <w:rPr>
          <w:rFonts w:ascii="Arial" w:hAnsi="Arial" w:cs="Arial"/>
          <w:b/>
          <w:sz w:val="24"/>
          <w:szCs w:val="24"/>
        </w:rPr>
      </w:pPr>
      <w:r w:rsidRPr="00551453">
        <w:rPr>
          <w:rFonts w:ascii="Arial" w:hAnsi="Arial" w:cs="Arial"/>
          <w:b/>
          <w:sz w:val="24"/>
          <w:szCs w:val="24"/>
        </w:rPr>
        <w:t>UNIDAD 1:</w:t>
      </w:r>
    </w:p>
    <w:p w:rsidR="00551453" w:rsidRPr="00551453" w:rsidRDefault="00551453" w:rsidP="0055145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Introducción a la Estética Americana. </w:t>
      </w:r>
    </w:p>
    <w:p w:rsidR="00551453" w:rsidRPr="00551453" w:rsidRDefault="00551453" w:rsidP="0055145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Sociedades indígenas y Occidentalización. Colonización. </w:t>
      </w:r>
    </w:p>
    <w:p w:rsidR="00551453" w:rsidRPr="00551453" w:rsidRDefault="00551453" w:rsidP="0055145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Manuscritos adivinatorios. </w:t>
      </w:r>
    </w:p>
    <w:p w:rsidR="00551453" w:rsidRPr="00551453" w:rsidRDefault="00551453" w:rsidP="0055145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Luces y colores del tiempo </w:t>
      </w:r>
      <w:proofErr w:type="spellStart"/>
      <w:r w:rsidRPr="00551453">
        <w:rPr>
          <w:rFonts w:ascii="Arial" w:hAnsi="Arial" w:cs="Arial"/>
          <w:sz w:val="24"/>
          <w:szCs w:val="24"/>
        </w:rPr>
        <w:t>Aymara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.  </w:t>
      </w:r>
    </w:p>
    <w:p w:rsidR="00551453" w:rsidRPr="00551453" w:rsidRDefault="00551453" w:rsidP="0055145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51453">
        <w:rPr>
          <w:rFonts w:ascii="Arial" w:hAnsi="Arial" w:cs="Arial"/>
          <w:sz w:val="24"/>
          <w:szCs w:val="24"/>
        </w:rPr>
        <w:t>Eurindia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(Ricardo Rojas). 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p w:rsidR="00551453" w:rsidRPr="00551453" w:rsidRDefault="00551453" w:rsidP="00551453">
      <w:pPr>
        <w:jc w:val="both"/>
        <w:rPr>
          <w:rFonts w:ascii="Arial" w:hAnsi="Arial" w:cs="Arial"/>
          <w:b/>
          <w:sz w:val="24"/>
          <w:szCs w:val="24"/>
        </w:rPr>
      </w:pPr>
      <w:r w:rsidRPr="00551453">
        <w:rPr>
          <w:rFonts w:ascii="Arial" w:hAnsi="Arial" w:cs="Arial"/>
          <w:b/>
          <w:sz w:val="24"/>
          <w:szCs w:val="24"/>
        </w:rPr>
        <w:t>UNIDAD 2:</w:t>
      </w:r>
    </w:p>
    <w:p w:rsidR="00551453" w:rsidRPr="00551453" w:rsidRDefault="00551453" w:rsidP="005514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La apertura de la obra artística y los límites de la interpretación.</w:t>
      </w:r>
    </w:p>
    <w:p w:rsidR="00551453" w:rsidRPr="00551453" w:rsidRDefault="00551453" w:rsidP="005514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Reconfiguración de la figura del autor y de la obra.</w:t>
      </w:r>
    </w:p>
    <w:p w:rsidR="00551453" w:rsidRPr="00551453" w:rsidRDefault="00551453" w:rsidP="0055145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Aportes actuales: Estética relacional, Estética de laboratorio, Estética de la emergencia, Estética pulsional.</w:t>
      </w:r>
    </w:p>
    <w:p w:rsidR="00551453" w:rsidRPr="00551453" w:rsidRDefault="00551453" w:rsidP="00551453">
      <w:pPr>
        <w:jc w:val="both"/>
        <w:rPr>
          <w:rFonts w:ascii="Arial" w:hAnsi="Arial" w:cs="Arial"/>
          <w:b/>
          <w:color w:val="C00000"/>
          <w:sz w:val="24"/>
          <w:szCs w:val="24"/>
          <w:u w:val="single"/>
        </w:rPr>
      </w:pPr>
      <w:r w:rsidRPr="00551453">
        <w:rPr>
          <w:rFonts w:ascii="Arial" w:hAnsi="Arial" w:cs="Arial"/>
          <w:b/>
          <w:color w:val="C00000"/>
          <w:sz w:val="24"/>
          <w:szCs w:val="24"/>
          <w:u w:val="single"/>
        </w:rPr>
        <w:t>BIBLIOGRAFÍA: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SERGE GRUZINSKI (1991)- “LA COLONIZACIÓN DE LO IMAGINARIO” Fondo de Cultura Económica, S.A. México </w:t>
      </w:r>
      <w:proofErr w:type="gramStart"/>
      <w:r w:rsidRPr="00551453">
        <w:rPr>
          <w:rFonts w:ascii="Arial" w:hAnsi="Arial" w:cs="Arial"/>
          <w:sz w:val="24"/>
          <w:szCs w:val="24"/>
        </w:rPr>
        <w:t>D.F..</w:t>
      </w:r>
      <w:proofErr w:type="gramEnd"/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 xml:space="preserve">Elizabeth Hill Boone (2007)- “Ciclos del Tiempo y Significado en los libros Mexicanos del destino”, Fondo de Cultura Económica S.A. México </w:t>
      </w:r>
      <w:proofErr w:type="gramStart"/>
      <w:r w:rsidRPr="00551453">
        <w:rPr>
          <w:rFonts w:ascii="Arial" w:hAnsi="Arial" w:cs="Arial"/>
          <w:sz w:val="24"/>
          <w:szCs w:val="24"/>
        </w:rPr>
        <w:t>D.F..</w:t>
      </w:r>
      <w:proofErr w:type="gramEnd"/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Ricardo Rojas (1924)- “</w:t>
      </w:r>
      <w:proofErr w:type="spellStart"/>
      <w:r w:rsidRPr="00551453">
        <w:rPr>
          <w:rFonts w:ascii="Arial" w:hAnsi="Arial" w:cs="Arial"/>
          <w:sz w:val="24"/>
          <w:szCs w:val="24"/>
        </w:rPr>
        <w:t>Eurindia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” (Selección de Capítulos), </w:t>
      </w:r>
      <w:proofErr w:type="spellStart"/>
      <w:r w:rsidRPr="00551453">
        <w:rPr>
          <w:rFonts w:ascii="Arial" w:hAnsi="Arial" w:cs="Arial"/>
          <w:sz w:val="24"/>
          <w:szCs w:val="24"/>
        </w:rPr>
        <w:t>Ceal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Buenos Aires-Argentina.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51453">
        <w:rPr>
          <w:rFonts w:ascii="Arial" w:hAnsi="Arial" w:cs="Arial"/>
          <w:sz w:val="24"/>
          <w:szCs w:val="24"/>
        </w:rPr>
        <w:t>Ades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1453">
        <w:rPr>
          <w:rFonts w:ascii="Arial" w:hAnsi="Arial" w:cs="Arial"/>
          <w:sz w:val="24"/>
          <w:szCs w:val="24"/>
        </w:rPr>
        <w:t>Dawn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(1989)- “Arte en Iberoamérica”, Ministerio de Cultura/Centro de Arte Reina Sofía/ Centro Nacional de Exposiciones, Madrid.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“Historia General del Arte en la Argentina” – Tomo III- Academia Nacional de Bellas Artes, Buenos Aires-Argentina.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51453">
        <w:rPr>
          <w:rFonts w:ascii="Arial" w:hAnsi="Arial" w:cs="Arial"/>
          <w:sz w:val="24"/>
          <w:szCs w:val="24"/>
        </w:rPr>
        <w:t>Bourriaud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1453">
        <w:rPr>
          <w:rFonts w:ascii="Arial" w:hAnsi="Arial" w:cs="Arial"/>
          <w:sz w:val="24"/>
          <w:szCs w:val="24"/>
        </w:rPr>
        <w:t>Nicolàs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(2004). Post Producción, Buenos Aires: Adriana Hidalgo Editora.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51453">
        <w:rPr>
          <w:rFonts w:ascii="Arial" w:hAnsi="Arial" w:cs="Arial"/>
          <w:sz w:val="24"/>
          <w:szCs w:val="24"/>
        </w:rPr>
        <w:t>Bourriaud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1453">
        <w:rPr>
          <w:rFonts w:ascii="Arial" w:hAnsi="Arial" w:cs="Arial"/>
          <w:sz w:val="24"/>
          <w:szCs w:val="24"/>
        </w:rPr>
        <w:t>Nicolàs</w:t>
      </w:r>
      <w:proofErr w:type="spellEnd"/>
      <w:r w:rsidRPr="00551453">
        <w:rPr>
          <w:rFonts w:ascii="Arial" w:hAnsi="Arial" w:cs="Arial"/>
          <w:sz w:val="24"/>
          <w:szCs w:val="24"/>
        </w:rPr>
        <w:t xml:space="preserve"> (2007). Estética Relacional, Buenos Aires: Adriana Hidalgo Editora.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r w:rsidRPr="00551453">
        <w:rPr>
          <w:rFonts w:ascii="Arial" w:hAnsi="Arial" w:cs="Arial"/>
          <w:sz w:val="24"/>
          <w:szCs w:val="24"/>
        </w:rPr>
        <w:t>Kuri, C. (2008). Estética de lo Pulsional. Santa Fe: Ed. Universidad Nacional del Litoral.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51453">
        <w:rPr>
          <w:rFonts w:ascii="Arial" w:hAnsi="Arial" w:cs="Arial"/>
          <w:sz w:val="24"/>
          <w:szCs w:val="24"/>
        </w:rPr>
        <w:t>Laddaga</w:t>
      </w:r>
      <w:proofErr w:type="spellEnd"/>
      <w:r w:rsidRPr="00551453">
        <w:rPr>
          <w:rFonts w:ascii="Arial" w:hAnsi="Arial" w:cs="Arial"/>
          <w:sz w:val="24"/>
          <w:szCs w:val="24"/>
        </w:rPr>
        <w:t>, R. (2006). Estética de la Emergencia. Buenos Aires: Adriana Hidalgo Editora.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51453">
        <w:rPr>
          <w:rFonts w:ascii="Arial" w:hAnsi="Arial" w:cs="Arial"/>
          <w:sz w:val="24"/>
          <w:szCs w:val="24"/>
        </w:rPr>
        <w:lastRenderedPageBreak/>
        <w:t>Ranciere</w:t>
      </w:r>
      <w:proofErr w:type="spellEnd"/>
      <w:r w:rsidRPr="00551453">
        <w:rPr>
          <w:rFonts w:ascii="Arial" w:hAnsi="Arial" w:cs="Arial"/>
          <w:sz w:val="24"/>
          <w:szCs w:val="24"/>
        </w:rPr>
        <w:t>, J. (2010). El espectador emancipado, Buenos Aires: Bordes Manantial.</w:t>
      </w:r>
    </w:p>
    <w:p w:rsidR="00551453" w:rsidRPr="00551453" w:rsidRDefault="00551453" w:rsidP="00551453">
      <w:pPr>
        <w:jc w:val="both"/>
        <w:rPr>
          <w:rFonts w:ascii="Arial" w:hAnsi="Arial" w:cs="Arial"/>
          <w:sz w:val="24"/>
          <w:szCs w:val="24"/>
        </w:rPr>
      </w:pPr>
    </w:p>
    <w:sectPr w:rsidR="00551453" w:rsidRPr="005514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230AD"/>
    <w:multiLevelType w:val="hybridMultilevel"/>
    <w:tmpl w:val="16262A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6C6339"/>
    <w:multiLevelType w:val="hybridMultilevel"/>
    <w:tmpl w:val="95DA751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61"/>
    <w:rsid w:val="00257CBD"/>
    <w:rsid w:val="00551453"/>
    <w:rsid w:val="00C542BD"/>
    <w:rsid w:val="00D63A61"/>
    <w:rsid w:val="00FD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5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45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514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5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45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51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BC281-FEFE-4448-B150-8AABB013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RIODRIGUEZ</dc:creator>
  <cp:lastModifiedBy>RIODRIGUEZ</cp:lastModifiedBy>
  <cp:revision>4</cp:revision>
  <cp:lastPrinted>2025-11-12T14:50:00Z</cp:lastPrinted>
  <dcterms:created xsi:type="dcterms:W3CDTF">2025-11-12T14:42:00Z</dcterms:created>
  <dcterms:modified xsi:type="dcterms:W3CDTF">2025-11-12T14:50:00Z</dcterms:modified>
</cp:coreProperties>
</file>