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F579" w14:textId="46CD50A5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 xml:space="preserve">INSTITUTO </w:t>
      </w:r>
      <w:r w:rsidR="00B926E2">
        <w:rPr>
          <w:rFonts w:ascii="Garamond" w:hAnsi="Garamond" w:cs="Arial"/>
          <w:color w:val="000000"/>
          <w:sz w:val="22"/>
          <w:szCs w:val="22"/>
          <w:lang w:val="es-ES"/>
        </w:rPr>
        <w:t xml:space="preserve">DE EDUCACIÓN </w:t>
      </w:r>
      <w:r>
        <w:rPr>
          <w:rFonts w:ascii="Garamond" w:hAnsi="Garamond" w:cs="Arial"/>
          <w:color w:val="000000"/>
          <w:sz w:val="22"/>
          <w:szCs w:val="22"/>
          <w:lang w:val="es-ES"/>
        </w:rPr>
        <w:t>SUPERIOR Nº 7</w:t>
      </w:r>
    </w:p>
    <w:p w14:paraId="7DF40C4E" w14:textId="74E6B6B0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 xml:space="preserve">Carrera: Profesorado en </w:t>
      </w:r>
      <w:r w:rsidR="00B926E2">
        <w:rPr>
          <w:rFonts w:ascii="Garamond" w:hAnsi="Garamond" w:cs="Arial"/>
          <w:color w:val="000000"/>
          <w:sz w:val="22"/>
          <w:szCs w:val="22"/>
          <w:lang w:val="es-ES"/>
        </w:rPr>
        <w:t xml:space="preserve">Ciencias de la </w:t>
      </w:r>
      <w:r>
        <w:rPr>
          <w:rFonts w:ascii="Garamond" w:hAnsi="Garamond" w:cs="Arial"/>
          <w:color w:val="000000"/>
          <w:sz w:val="22"/>
          <w:szCs w:val="22"/>
          <w:lang w:val="es-ES"/>
        </w:rPr>
        <w:t>Administración.-</w:t>
      </w:r>
    </w:p>
    <w:p w14:paraId="1688F503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Programa de la materia: CONSTRUCCIÓN CIUDADANA</w:t>
      </w:r>
    </w:p>
    <w:p w14:paraId="1F2C447D" w14:textId="38091E11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 xml:space="preserve">Corresponde: al 1º año de la </w:t>
      </w:r>
      <w:r w:rsidR="00B926E2">
        <w:rPr>
          <w:rFonts w:ascii="Garamond" w:hAnsi="Garamond" w:cs="Arial"/>
          <w:color w:val="000000"/>
          <w:sz w:val="22"/>
          <w:szCs w:val="22"/>
          <w:lang w:val="es-ES"/>
        </w:rPr>
        <w:t>C</w:t>
      </w:r>
      <w:r>
        <w:rPr>
          <w:rFonts w:ascii="Garamond" w:hAnsi="Garamond" w:cs="Arial"/>
          <w:color w:val="000000"/>
          <w:sz w:val="22"/>
          <w:szCs w:val="22"/>
          <w:lang w:val="es-ES"/>
        </w:rPr>
        <w:t>arrera .-</w:t>
      </w:r>
    </w:p>
    <w:p w14:paraId="004C456F" w14:textId="503B2E45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Año: 202</w:t>
      </w:r>
      <w:r w:rsidR="00AB0102">
        <w:rPr>
          <w:rFonts w:ascii="Garamond" w:hAnsi="Garamond" w:cs="Arial"/>
          <w:color w:val="000000"/>
          <w:sz w:val="22"/>
          <w:szCs w:val="22"/>
          <w:lang w:val="es-ES"/>
        </w:rPr>
        <w:t>5</w:t>
      </w:r>
    </w:p>
    <w:p w14:paraId="09105485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Profesora: LAURA BARCO.-</w:t>
      </w:r>
    </w:p>
    <w:p w14:paraId="528737B3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UNIDAD I.-</w:t>
      </w:r>
    </w:p>
    <w:p w14:paraId="2870BDE3" w14:textId="09B2B38A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Panorama general de la materia.-El estado, elementos Territorio, población, gobierno.-Pueblo.-Nación.-Estado.-Los Elementos del Estado.-Soberanía autonomía y autarquía.-Formas de Gobierno según Ari</w:t>
      </w:r>
      <w:r w:rsidR="00AB0102">
        <w:rPr>
          <w:rFonts w:ascii="Garamond" w:hAnsi="Garamond" w:cs="Arial"/>
          <w:color w:val="000000"/>
          <w:sz w:val="22"/>
          <w:szCs w:val="22"/>
          <w:lang w:val="es-ES"/>
        </w:rPr>
        <w:t>s</w:t>
      </w:r>
      <w:r>
        <w:rPr>
          <w:rFonts w:ascii="Garamond" w:hAnsi="Garamond" w:cs="Arial"/>
          <w:color w:val="000000"/>
          <w:sz w:val="22"/>
          <w:szCs w:val="22"/>
          <w:lang w:val="es-ES"/>
        </w:rPr>
        <w:t>tóteles.-Forma de Gobierno: Representativa, republicana y Federal.-</w:t>
      </w:r>
    </w:p>
    <w:p w14:paraId="08317F4A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UNIDAD II.-</w:t>
      </w:r>
    </w:p>
    <w:p w14:paraId="6DECFAD8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La Constitución.-Concepto.-Antecedentes.-Pactos preexistente.-.-La Constitución Argentina.-Estructura.-Reformas.-supremacía constitucional.-El Preámbulo.-La organización del Estado Argentino.-Constituciones Provinciales.-</w:t>
      </w:r>
    </w:p>
    <w:p w14:paraId="37601CD1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Declaraciones derechos y garantías.-Concepto, distinción.-Los llamados derechos individuales.-Los derechos humanos.-Tratados internacionales sobre derechos humanos.-Su historia y significación.-Derechos humanos de primera, segunda y tercera generación.-Tratados internacionales.-Procedimiento para el perfeccionamiento de un tratado.-</w:t>
      </w:r>
    </w:p>
    <w:p w14:paraId="7D3E4A93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UNIDAD III.-</w:t>
      </w:r>
    </w:p>
    <w:p w14:paraId="59BFE2A3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La autonomía provincial: análisis de los artículos 121 al 129 de la CN. La intervención Federal. Clases.-Casos.-Incorporación del al Artículo 75 los incisos 22 Y 24 de la Constitución Nacional.-Contenido.-Relaciones del Estado argentino con las organizaciones internacionales y con la Santa Sede.-Nacionalidad y ciudadanía.-modos de acceder a la nacionalidad.-Derechosy obligaciones de los naturalizados.-El art 75 inc 12 de la CN.-Extranjeros, régimen constitucional aplicable.-El art. 14 de la CN.-Principio de inalterabilidad y racionalidad art 28 CN.-Principio de igualdad art 16 CN.-Cargas Públicas.-El art 14 bisCN.-Derecho de Propiedad art 17 CN.-Expropiación.-Análisis del contenido del art 36 CN.-Derechos constitucionales de tercera generación art 41 y 42 CN.-Derechos del consumidor.-</w:t>
      </w:r>
    </w:p>
    <w:p w14:paraId="31665D29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UNIDAD IV.-</w:t>
      </w:r>
    </w:p>
    <w:p w14:paraId="3F10AE7C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Nuevos derechos incorporados en la reforma constitucional de 1994.-Habeas corpus.-Hábeas data y acción de amparo.-Su génesis jurisprudencial.-Nueva legislación.-</w:t>
      </w:r>
    </w:p>
    <w:p w14:paraId="7E02948C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El poder Legislativo.-La separación de poderes.-El congreso.-Atribuciones.-Su ordenamiento en la Constitución.-Del proceso de formación y sanción de las leyes.-La iniciativa y el procedimiento parlamentario conforme a los reglamentos de las cámaras.-Sanción y promulgación de la ley.-situaciones posibles.-</w:t>
      </w:r>
    </w:p>
    <w:p w14:paraId="03F1D0E8" w14:textId="77777777" w:rsidR="00AB0102" w:rsidRDefault="00AB0102" w:rsidP="00AF07C9">
      <w:pPr>
        <w:pStyle w:val="NormalWeb"/>
        <w:shd w:val="clear" w:color="auto" w:fill="FFFFFF"/>
        <w:spacing w:after="0" w:afterAutospacing="0"/>
        <w:rPr>
          <w:rFonts w:ascii="Garamond" w:hAnsi="Garamond" w:cs="Arial"/>
          <w:color w:val="000000"/>
          <w:sz w:val="22"/>
          <w:szCs w:val="22"/>
          <w:lang w:val="es-ES"/>
        </w:rPr>
      </w:pPr>
    </w:p>
    <w:p w14:paraId="57560573" w14:textId="77777777" w:rsidR="00AB0102" w:rsidRDefault="00AB0102" w:rsidP="00AF07C9">
      <w:pPr>
        <w:pStyle w:val="NormalWeb"/>
        <w:shd w:val="clear" w:color="auto" w:fill="FFFFFF"/>
        <w:spacing w:after="0" w:afterAutospacing="0"/>
        <w:rPr>
          <w:rFonts w:ascii="Garamond" w:hAnsi="Garamond" w:cs="Arial"/>
          <w:color w:val="000000"/>
          <w:sz w:val="22"/>
          <w:szCs w:val="22"/>
          <w:lang w:val="es-ES"/>
        </w:rPr>
      </w:pPr>
    </w:p>
    <w:p w14:paraId="4409C654" w14:textId="6EE80D60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UNIDAD V.-</w:t>
      </w:r>
    </w:p>
    <w:p w14:paraId="460A6DF1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El </w:t>
      </w:r>
      <w:r>
        <w:rPr>
          <w:rFonts w:ascii="Garamond" w:hAnsi="Garamond" w:cs="Arial"/>
          <w:b/>
          <w:bCs/>
          <w:color w:val="000000"/>
          <w:sz w:val="22"/>
          <w:szCs w:val="22"/>
          <w:lang w:val="es-ES"/>
        </w:rPr>
        <w:t>Poder Ejecutivo.</w:t>
      </w:r>
      <w:r>
        <w:rPr>
          <w:rFonts w:ascii="Garamond" w:hAnsi="Garamond" w:cs="Arial"/>
          <w:color w:val="000000"/>
          <w:sz w:val="22"/>
          <w:szCs w:val="22"/>
          <w:lang w:val="es-ES"/>
        </w:rPr>
        <w:t>-El sistema en nuestro derecho.-Incompatibilidades.-Acefalía.-El Jefe de Gabinete.-Los ministros.-Competencia.-Responsabilidad.-Los decretos de necesidad y urgencia.-Relaciones entre los ministros y el congreso.-</w:t>
      </w:r>
    </w:p>
    <w:p w14:paraId="19287FD5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</w:p>
    <w:p w14:paraId="41BCDA95" w14:textId="77777777" w:rsidR="00AF07C9" w:rsidRDefault="00AF07C9" w:rsidP="00AF07C9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Bibliografía:</w:t>
      </w:r>
    </w:p>
    <w:p w14:paraId="051A558F" w14:textId="77777777" w:rsidR="00AF07C9" w:rsidRDefault="00AF07C9" w:rsidP="00AF07C9">
      <w:pPr>
        <w:pStyle w:val="NormalWeb"/>
        <w:numPr>
          <w:ilvl w:val="0"/>
          <w:numId w:val="1"/>
        </w:numPr>
        <w:shd w:val="clear" w:color="auto" w:fill="FFFFFF"/>
        <w:spacing w:after="17" w:afterAutospacing="0"/>
        <w:ind w:left="945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Constitución Nacional.-</w:t>
      </w:r>
    </w:p>
    <w:p w14:paraId="5E50F0BE" w14:textId="77777777" w:rsidR="00AF07C9" w:rsidRDefault="00AF07C9" w:rsidP="00AF07C9">
      <w:pPr>
        <w:pStyle w:val="NormalWeb"/>
        <w:numPr>
          <w:ilvl w:val="0"/>
          <w:numId w:val="1"/>
        </w:numPr>
        <w:shd w:val="clear" w:color="auto" w:fill="FFFFFF"/>
        <w:spacing w:after="17" w:afterAutospacing="0"/>
        <w:ind w:left="945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Tratado de Derecho Constitucional de Bidart Campos.-</w:t>
      </w:r>
    </w:p>
    <w:p w14:paraId="62307FCA" w14:textId="77777777" w:rsidR="00AF07C9" w:rsidRDefault="00AF07C9" w:rsidP="00AF07C9">
      <w:pPr>
        <w:pStyle w:val="NormalWeb"/>
        <w:numPr>
          <w:ilvl w:val="0"/>
          <w:numId w:val="1"/>
        </w:numPr>
        <w:shd w:val="clear" w:color="auto" w:fill="FFFFFF"/>
        <w:spacing w:after="17" w:afterAutospacing="0"/>
        <w:ind w:left="945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Leyes de Habeas Corpus, Habeas Data y Amparo.-</w:t>
      </w:r>
    </w:p>
    <w:p w14:paraId="79A34F42" w14:textId="77777777" w:rsidR="00AF07C9" w:rsidRDefault="00AF07C9" w:rsidP="00AF07C9">
      <w:pPr>
        <w:pStyle w:val="NormalWeb"/>
        <w:numPr>
          <w:ilvl w:val="0"/>
          <w:numId w:val="1"/>
        </w:numPr>
        <w:shd w:val="clear" w:color="auto" w:fill="FFFFFF"/>
        <w:spacing w:after="17" w:afterAutospacing="0"/>
        <w:ind w:left="945"/>
        <w:rPr>
          <w:rFonts w:ascii="Arial" w:hAnsi="Arial" w:cs="Arial"/>
          <w:color w:val="222222"/>
          <w:lang w:val="es-ES"/>
        </w:rPr>
      </w:pPr>
      <w:r>
        <w:rPr>
          <w:rFonts w:ascii="Garamond" w:hAnsi="Garamond" w:cs="Arial"/>
          <w:color w:val="000000"/>
          <w:sz w:val="22"/>
          <w:szCs w:val="22"/>
          <w:lang w:val="es-ES"/>
        </w:rPr>
        <w:t>Tratado de Derecho Constitucional de Bielsa.-</w:t>
      </w:r>
    </w:p>
    <w:p w14:paraId="0CBD16D7" w14:textId="77777777" w:rsidR="001137DD" w:rsidRDefault="001137DD"/>
    <w:sectPr w:rsidR="001137D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6B9D4" w14:textId="77777777" w:rsidR="00CD45E7" w:rsidRDefault="00CD45E7" w:rsidP="00AF07C9">
      <w:pPr>
        <w:spacing w:after="0" w:line="240" w:lineRule="auto"/>
      </w:pPr>
      <w:r>
        <w:separator/>
      </w:r>
    </w:p>
  </w:endnote>
  <w:endnote w:type="continuationSeparator" w:id="0">
    <w:p w14:paraId="238A539A" w14:textId="77777777" w:rsidR="00CD45E7" w:rsidRDefault="00CD45E7" w:rsidP="00AF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652513"/>
      <w:docPartObj>
        <w:docPartGallery w:val="Page Numbers (Bottom of Page)"/>
        <w:docPartUnique/>
      </w:docPartObj>
    </w:sdtPr>
    <w:sdtEndPr/>
    <w:sdtContent>
      <w:p w14:paraId="5D13F08B" w14:textId="5EE6296F" w:rsidR="00AF07C9" w:rsidRDefault="00AF07C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467D8E3" w14:textId="77777777" w:rsidR="00AF07C9" w:rsidRDefault="00AF07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4768" w14:textId="77777777" w:rsidR="00CD45E7" w:rsidRDefault="00CD45E7" w:rsidP="00AF07C9">
      <w:pPr>
        <w:spacing w:after="0" w:line="240" w:lineRule="auto"/>
      </w:pPr>
      <w:r>
        <w:separator/>
      </w:r>
    </w:p>
  </w:footnote>
  <w:footnote w:type="continuationSeparator" w:id="0">
    <w:p w14:paraId="2F2489BE" w14:textId="77777777" w:rsidR="00CD45E7" w:rsidRDefault="00CD45E7" w:rsidP="00AF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72B30"/>
    <w:multiLevelType w:val="multilevel"/>
    <w:tmpl w:val="1364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07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C9"/>
    <w:rsid w:val="001137DD"/>
    <w:rsid w:val="002A5B84"/>
    <w:rsid w:val="00416EEA"/>
    <w:rsid w:val="00583B0B"/>
    <w:rsid w:val="00587E8D"/>
    <w:rsid w:val="00737F12"/>
    <w:rsid w:val="00AB0102"/>
    <w:rsid w:val="00AF07C9"/>
    <w:rsid w:val="00B926E2"/>
    <w:rsid w:val="00CD45E7"/>
    <w:rsid w:val="00F513ED"/>
    <w:rsid w:val="00F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DF8D"/>
  <w15:chartTrackingRefBased/>
  <w15:docId w15:val="{65D63D23-8625-40DA-A303-D2A91124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F0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07C9"/>
  </w:style>
  <w:style w:type="paragraph" w:styleId="Piedepgina">
    <w:name w:val="footer"/>
    <w:basedOn w:val="Normal"/>
    <w:link w:val="PiedepginaCar"/>
    <w:uiPriority w:val="99"/>
    <w:unhideWhenUsed/>
    <w:rsid w:val="00AF0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7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Silvina Fusinato</cp:lastModifiedBy>
  <cp:revision>2</cp:revision>
  <dcterms:created xsi:type="dcterms:W3CDTF">2025-11-27T22:55:00Z</dcterms:created>
  <dcterms:modified xsi:type="dcterms:W3CDTF">2025-11-27T22:55:00Z</dcterms:modified>
</cp:coreProperties>
</file>