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574" w:rsidRDefault="006F7574" w:rsidP="006F7574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PROGRAMA DE EXAMEN</w:t>
      </w:r>
    </w:p>
    <w:p w:rsidR="006F7574" w:rsidRDefault="006F7574" w:rsidP="006F757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INSTITUTO DE EDUCACIÓN S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UPERIOR N° 7.</w:t>
      </w:r>
    </w:p>
    <w:p w:rsidR="006F7574" w:rsidRDefault="006F7574" w:rsidP="006F757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CARRERA: P</w:t>
      </w:r>
      <w:r>
        <w:rPr>
          <w:rFonts w:ascii="Arial" w:hAnsi="Arial" w:cs="Arial"/>
          <w:b/>
          <w:sz w:val="24"/>
          <w:szCs w:val="24"/>
        </w:rPr>
        <w:t>rofesorado de Educación Especial para Discapacitados Intelectuales.</w:t>
      </w:r>
    </w:p>
    <w:p w:rsidR="006F7574" w:rsidRDefault="006F7574" w:rsidP="006F757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AÑO: 2</w:t>
      </w:r>
      <w:r>
        <w:rPr>
          <w:rFonts w:ascii="Arial" w:hAnsi="Arial" w:cs="Arial"/>
          <w:b/>
          <w:sz w:val="24"/>
          <w:szCs w:val="24"/>
        </w:rPr>
        <w:t>°.</w:t>
      </w:r>
    </w:p>
    <w:p w:rsidR="006F7574" w:rsidRDefault="006F7574" w:rsidP="006F757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MATERIA: Psicología y Cultura del Alumno II</w:t>
      </w:r>
      <w:r>
        <w:rPr>
          <w:rFonts w:ascii="Arial" w:hAnsi="Arial" w:cs="Arial"/>
          <w:b/>
          <w:sz w:val="24"/>
          <w:szCs w:val="24"/>
        </w:rPr>
        <w:t>.</w:t>
      </w:r>
    </w:p>
    <w:p w:rsidR="006F7574" w:rsidRDefault="006F7574" w:rsidP="006F757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CICLO LECTIVO: 2019.</w:t>
      </w:r>
    </w:p>
    <w:p w:rsidR="006F7574" w:rsidRDefault="006F7574" w:rsidP="006F7574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PROFESOR: Walter Clark.</w:t>
      </w:r>
    </w:p>
    <w:p w:rsidR="006F7574" w:rsidRDefault="006F7574" w:rsidP="006F7574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CONTENIDOS:</w:t>
      </w:r>
    </w:p>
    <w:p w:rsidR="006F7574" w:rsidRDefault="006F7574" w:rsidP="006F75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Breve introducción de la historia de la psicología. Las discusiones acerca del objeto y del método. Sus inicios en el siglo XIX. Wundt y el primer laboratorio de psicología. Rupturas epistemológicas.</w:t>
      </w:r>
    </w:p>
    <w:p w:rsidR="006F7574" w:rsidRDefault="006F7574" w:rsidP="006F7574">
      <w:pPr>
        <w:spacing w:before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Características del sujeto para el psicoanálisis: carente de falta, inconsciente, de deseo, castrado, incompleto, en construcción, desnaturalizado, estructurado por el lenguaje, sexuado, sintomático, pulsional, dividido.</w:t>
      </w:r>
    </w:p>
    <w:p w:rsidR="006F7574" w:rsidRDefault="006F7574" w:rsidP="006F757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 comparación con la psicología de la conciencia (Wundt): sujeto unitario, indiviso, consciente. Método introspectivo.</w:t>
      </w:r>
    </w:p>
    <w:p w:rsidR="006F7574" w:rsidRDefault="006F7574" w:rsidP="006F757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Primera tópica Freudiana. Conceptualización del aparato psíquico, sus características tópicas, dinámicas y económicas. Características de lo consciente, preconsciente e inconsciente. Caracterización de la represión secundaria, retorno de lo reprimido. Formación de síntoma, condensación y desplazamiento. Construcción subjetiva: complejo de Edipo, complejo de Castración, concepto de Falo. </w:t>
      </w:r>
    </w:p>
    <w:p w:rsidR="006F7574" w:rsidRDefault="006F7574" w:rsidP="006F757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Función materna, función paterna. Diferencia entre pulsión e instinto. </w:t>
      </w:r>
    </w:p>
    <w:p w:rsidR="006F7574" w:rsidRPr="006F7574" w:rsidRDefault="006F7574" w:rsidP="006F7574">
      <w:pPr>
        <w:spacing w:after="240" w:line="360" w:lineRule="auto"/>
        <w:jc w:val="both"/>
        <w:rPr>
          <w:rFonts w:ascii="Arial" w:hAnsi="Arial" w:cs="Arial"/>
          <w:sz w:val="24"/>
        </w:rPr>
      </w:pPr>
      <w:r w:rsidRPr="006F7574">
        <w:rPr>
          <w:rFonts w:ascii="Arial" w:hAnsi="Arial" w:cs="Arial"/>
          <w:sz w:val="24"/>
        </w:rPr>
        <w:t>Caracterización de la adolescencia. Diferencias con la pubertad. La pubertad como un proceso individual, la adolescencia como uno social. Etapas de profundos cambios y consolidación de la personalidad.</w:t>
      </w:r>
    </w:p>
    <w:p w:rsidR="006F7574" w:rsidRPr="006F7574" w:rsidRDefault="006F7574" w:rsidP="006F7574">
      <w:pPr>
        <w:spacing w:after="240" w:line="360" w:lineRule="auto"/>
        <w:jc w:val="both"/>
        <w:rPr>
          <w:rFonts w:ascii="Arial" w:hAnsi="Arial" w:cs="Arial"/>
          <w:sz w:val="24"/>
        </w:rPr>
      </w:pPr>
      <w:r w:rsidRPr="006F7574">
        <w:rPr>
          <w:rFonts w:ascii="Arial" w:hAnsi="Arial" w:cs="Arial"/>
          <w:sz w:val="24"/>
        </w:rPr>
        <w:lastRenderedPageBreak/>
        <w:t>Búsqueda de identidad, de nuevos ideales. Enfrentamientos y cuestionamientos a las autoridades parentales e institucionales. Vida extra-familiar. Síntomas que pueden presentarse durante este período.</w:t>
      </w:r>
    </w:p>
    <w:p w:rsidR="006F7574" w:rsidRPr="006F7574" w:rsidRDefault="006F7574" w:rsidP="006F7574">
      <w:pPr>
        <w:spacing w:after="240" w:line="360" w:lineRule="auto"/>
        <w:jc w:val="both"/>
        <w:rPr>
          <w:rFonts w:ascii="Arial" w:hAnsi="Arial" w:cs="Arial"/>
          <w:sz w:val="24"/>
        </w:rPr>
      </w:pPr>
      <w:r w:rsidRPr="006F7574">
        <w:rPr>
          <w:rFonts w:ascii="Arial" w:hAnsi="Arial" w:cs="Arial"/>
          <w:sz w:val="24"/>
        </w:rPr>
        <w:t>Duelo por el cuerpo del niño y asesinato simbólico del padre. La posición de los padres de adolescentes. Grupos de adolescentes, sus códigos y su cultura. Final de la adolescencia. Búsqueda de independencia.</w:t>
      </w:r>
    </w:p>
    <w:p w:rsidR="006F7574" w:rsidRDefault="006F7574" w:rsidP="006F7574">
      <w:pPr>
        <w:spacing w:after="240" w:line="360" w:lineRule="auto"/>
        <w:jc w:val="both"/>
        <w:rPr>
          <w:rFonts w:ascii="Arial" w:hAnsi="Arial" w:cs="Arial"/>
          <w:sz w:val="24"/>
        </w:rPr>
      </w:pPr>
      <w:r w:rsidRPr="006F7574">
        <w:rPr>
          <w:rFonts w:ascii="Arial" w:hAnsi="Arial" w:cs="Arial"/>
          <w:sz w:val="24"/>
        </w:rPr>
        <w:t xml:space="preserve">Sexualidad en la adolescencia. Las dificultades de acercarse al otro sexo. La genitalidad y sus impactos psíquicos. Definición de la </w:t>
      </w:r>
      <w:proofErr w:type="spellStart"/>
      <w:r w:rsidRPr="006F7574">
        <w:rPr>
          <w:rFonts w:ascii="Arial" w:hAnsi="Arial" w:cs="Arial"/>
          <w:sz w:val="24"/>
        </w:rPr>
        <w:t>sexuación</w:t>
      </w:r>
      <w:proofErr w:type="spellEnd"/>
      <w:r w:rsidRPr="006F7574">
        <w:rPr>
          <w:rFonts w:ascii="Arial" w:hAnsi="Arial" w:cs="Arial"/>
          <w:sz w:val="24"/>
        </w:rPr>
        <w:t>.</w:t>
      </w:r>
    </w:p>
    <w:p w:rsidR="006F7574" w:rsidRPr="006F7574" w:rsidRDefault="006F7574" w:rsidP="001939F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F7574">
        <w:rPr>
          <w:rFonts w:ascii="Arial" w:hAnsi="Arial" w:cs="Arial"/>
          <w:b/>
          <w:sz w:val="24"/>
          <w:szCs w:val="24"/>
        </w:rPr>
        <w:t>BIBLIOGRAFÍA:</w:t>
      </w:r>
    </w:p>
    <w:p w:rsidR="006F7574" w:rsidRPr="006F7574" w:rsidRDefault="006F7574" w:rsidP="001939FD">
      <w:pPr>
        <w:pStyle w:val="Textoindependiente2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Cs/>
          <w:sz w:val="24"/>
        </w:rPr>
      </w:pPr>
      <w:r w:rsidRPr="006F7574">
        <w:rPr>
          <w:rFonts w:ascii="Arial" w:hAnsi="Arial" w:cs="Arial"/>
          <w:bCs/>
          <w:sz w:val="24"/>
        </w:rPr>
        <w:t>Freud S. Tres ensayos sobre teoría sexual. Editorial Paidós.</w:t>
      </w:r>
    </w:p>
    <w:p w:rsidR="006F7574" w:rsidRDefault="006F7574" w:rsidP="001939FD">
      <w:pPr>
        <w:pStyle w:val="Textoindependiente2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Cs/>
          <w:sz w:val="24"/>
        </w:rPr>
      </w:pPr>
      <w:r w:rsidRPr="006F7574">
        <w:rPr>
          <w:rFonts w:ascii="Arial" w:hAnsi="Arial" w:cs="Arial"/>
          <w:bCs/>
          <w:sz w:val="24"/>
        </w:rPr>
        <w:t>Freud. S. Justificación del concepto de lo inconsciente. Editorial Paidós.</w:t>
      </w:r>
    </w:p>
    <w:p w:rsidR="001939FD" w:rsidRDefault="001939FD" w:rsidP="001939FD">
      <w:pPr>
        <w:pStyle w:val="Textoindependiente2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Freud, S. </w:t>
      </w:r>
      <w:r w:rsidRPr="006A73B6">
        <w:rPr>
          <w:rFonts w:ascii="Arial" w:hAnsi="Arial" w:cs="Arial"/>
          <w:sz w:val="24"/>
        </w:rPr>
        <w:t>Las propiedades particulares del incon</w:t>
      </w:r>
      <w:r>
        <w:rPr>
          <w:rFonts w:ascii="Arial" w:hAnsi="Arial" w:cs="Arial"/>
          <w:sz w:val="24"/>
        </w:rPr>
        <w:t>sciente. Amorrortu editores.</w:t>
      </w:r>
    </w:p>
    <w:p w:rsidR="001939FD" w:rsidRPr="001939FD" w:rsidRDefault="001939FD" w:rsidP="001939FD">
      <w:pPr>
        <w:pStyle w:val="Textoindependiente2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Freud. S. </w:t>
      </w:r>
      <w:r w:rsidRPr="006A73B6">
        <w:rPr>
          <w:rFonts w:ascii="Arial" w:hAnsi="Arial" w:cs="Arial"/>
          <w:sz w:val="24"/>
        </w:rPr>
        <w:t>Tópica y din</w:t>
      </w:r>
      <w:r>
        <w:rPr>
          <w:rFonts w:ascii="Arial" w:hAnsi="Arial" w:cs="Arial"/>
          <w:sz w:val="24"/>
        </w:rPr>
        <w:t>ámica de la represión. Amorrortu editores.</w:t>
      </w:r>
    </w:p>
    <w:p w:rsidR="006F7574" w:rsidRPr="006F7574" w:rsidRDefault="006F7574" w:rsidP="001939FD">
      <w:pPr>
        <w:pStyle w:val="Textoindependiente2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Cs/>
          <w:sz w:val="24"/>
        </w:rPr>
      </w:pPr>
      <w:r w:rsidRPr="006F7574">
        <w:rPr>
          <w:rFonts w:ascii="Arial" w:hAnsi="Arial" w:cs="Arial"/>
          <w:bCs/>
          <w:sz w:val="24"/>
        </w:rPr>
        <w:t>Hothersall  D. Historia de la psicología. Editorial McGraw-Hill.</w:t>
      </w:r>
    </w:p>
    <w:p w:rsidR="006F7574" w:rsidRPr="006F7574" w:rsidRDefault="006F7574" w:rsidP="001939FD">
      <w:pPr>
        <w:pStyle w:val="Textoindependiente2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Cs/>
          <w:sz w:val="24"/>
        </w:rPr>
      </w:pPr>
      <w:r w:rsidRPr="006F7574">
        <w:rPr>
          <w:rFonts w:ascii="Arial" w:hAnsi="Arial" w:cs="Arial"/>
          <w:bCs/>
          <w:sz w:val="24"/>
        </w:rPr>
        <w:t>Leliwa, S. Scangarello, I. Psicología y educación. Editorial Brujas.</w:t>
      </w:r>
    </w:p>
    <w:p w:rsidR="006F7574" w:rsidRPr="006F7574" w:rsidRDefault="006F7574" w:rsidP="001939FD">
      <w:pPr>
        <w:pStyle w:val="Textoindependiente2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Cs/>
          <w:sz w:val="24"/>
        </w:rPr>
      </w:pPr>
      <w:r w:rsidRPr="006F7574">
        <w:rPr>
          <w:rFonts w:ascii="Arial" w:hAnsi="Arial" w:cs="Arial"/>
          <w:bCs/>
          <w:sz w:val="24"/>
        </w:rPr>
        <w:t>Nasio, J.D. Enseñanza de 7 conceptos cruciales del psicoanálisis.  Gedisa.</w:t>
      </w:r>
    </w:p>
    <w:p w:rsidR="006F7574" w:rsidRPr="006F7574" w:rsidRDefault="006F7574" w:rsidP="001939FD">
      <w:pPr>
        <w:pStyle w:val="Textoindependiente2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Cs/>
          <w:sz w:val="24"/>
        </w:rPr>
      </w:pPr>
      <w:r w:rsidRPr="006F7574">
        <w:rPr>
          <w:rFonts w:ascii="Arial" w:hAnsi="Arial" w:cs="Arial"/>
          <w:bCs/>
          <w:sz w:val="24"/>
        </w:rPr>
        <w:t>Piaget, J. Seis estudios de psicología. Editorial Seix Barral.</w:t>
      </w:r>
    </w:p>
    <w:p w:rsidR="006F7574" w:rsidRDefault="006F7574" w:rsidP="001939FD">
      <w:pPr>
        <w:pStyle w:val="Textoindependiente2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Cs/>
          <w:sz w:val="24"/>
        </w:rPr>
      </w:pPr>
      <w:r w:rsidRPr="006F7574">
        <w:rPr>
          <w:rFonts w:ascii="Arial" w:hAnsi="Arial" w:cs="Arial"/>
          <w:bCs/>
          <w:sz w:val="24"/>
        </w:rPr>
        <w:t xml:space="preserve">Pozo, J. Teorías cognitivas del aprendizaje. Editorial Morata. </w:t>
      </w:r>
    </w:p>
    <w:p w:rsidR="001939FD" w:rsidRDefault="001939FD" w:rsidP="001939FD">
      <w:pPr>
        <w:pStyle w:val="Textoindependiente2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Rodulfo, R. </w:t>
      </w:r>
      <w:r w:rsidRPr="006A73B6">
        <w:rPr>
          <w:rFonts w:ascii="Arial" w:hAnsi="Arial" w:cs="Arial"/>
          <w:sz w:val="24"/>
        </w:rPr>
        <w:t>El niño y el Signif</w:t>
      </w:r>
      <w:r>
        <w:rPr>
          <w:rFonts w:ascii="Arial" w:hAnsi="Arial" w:cs="Arial"/>
          <w:sz w:val="24"/>
        </w:rPr>
        <w:t>icante. Editorial Paidos</w:t>
      </w:r>
      <w:r w:rsidRPr="006A73B6">
        <w:rPr>
          <w:rFonts w:ascii="Arial" w:hAnsi="Arial" w:cs="Arial"/>
          <w:sz w:val="24"/>
        </w:rPr>
        <w:t>.</w:t>
      </w:r>
    </w:p>
    <w:p w:rsidR="001939FD" w:rsidRPr="001939FD" w:rsidRDefault="001939FD" w:rsidP="001939FD">
      <w:pPr>
        <w:pStyle w:val="Textoindependiente2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4"/>
        </w:rPr>
      </w:pPr>
      <w:proofErr w:type="spellStart"/>
      <w:r w:rsidRPr="00E673DE">
        <w:rPr>
          <w:rFonts w:ascii="Arial" w:hAnsi="Arial" w:cs="Arial"/>
          <w:sz w:val="24"/>
        </w:rPr>
        <w:t>Urresti</w:t>
      </w:r>
      <w:proofErr w:type="spellEnd"/>
      <w:r w:rsidRPr="00E673DE">
        <w:rPr>
          <w:rFonts w:ascii="Arial" w:hAnsi="Arial" w:cs="Arial"/>
          <w:sz w:val="24"/>
        </w:rPr>
        <w:t xml:space="preserve">, M. y </w:t>
      </w:r>
      <w:proofErr w:type="spellStart"/>
      <w:r w:rsidRPr="00E673DE">
        <w:rPr>
          <w:rFonts w:ascii="Arial" w:hAnsi="Arial" w:cs="Arial"/>
          <w:sz w:val="24"/>
        </w:rPr>
        <w:t>Margulis</w:t>
      </w:r>
      <w:proofErr w:type="spellEnd"/>
      <w:r w:rsidRPr="00E673DE">
        <w:rPr>
          <w:rFonts w:ascii="Arial" w:hAnsi="Arial" w:cs="Arial"/>
          <w:sz w:val="24"/>
        </w:rPr>
        <w:t xml:space="preserve">, M. (2008). La juventud es más que una palabra. Ensayos sobre cultura y juventud. Buenos Aires: </w:t>
      </w:r>
      <w:proofErr w:type="spellStart"/>
      <w:r w:rsidRPr="00E673DE">
        <w:rPr>
          <w:rFonts w:ascii="Arial" w:hAnsi="Arial" w:cs="Arial"/>
          <w:sz w:val="24"/>
        </w:rPr>
        <w:t>Biblos</w:t>
      </w:r>
      <w:proofErr w:type="spellEnd"/>
      <w:r w:rsidRPr="00E673DE">
        <w:rPr>
          <w:rFonts w:ascii="Arial" w:hAnsi="Arial" w:cs="Arial"/>
          <w:sz w:val="24"/>
        </w:rPr>
        <w:t>.</w:t>
      </w:r>
    </w:p>
    <w:p w:rsidR="007268C4" w:rsidRDefault="006F7574" w:rsidP="001939FD">
      <w:pPr>
        <w:pStyle w:val="Textoindependiente2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Cs/>
          <w:sz w:val="24"/>
        </w:rPr>
      </w:pPr>
      <w:r w:rsidRPr="006F7574">
        <w:rPr>
          <w:rFonts w:ascii="Arial" w:hAnsi="Arial" w:cs="Arial"/>
          <w:bCs/>
          <w:sz w:val="24"/>
        </w:rPr>
        <w:t>Apuntes de clase.</w:t>
      </w:r>
    </w:p>
    <w:p w:rsidR="00F7575A" w:rsidRPr="006F7574" w:rsidRDefault="00F7575A" w:rsidP="00F7575A">
      <w:pPr>
        <w:pStyle w:val="Textoindependiente2"/>
        <w:spacing w:after="240" w:line="360" w:lineRule="auto"/>
        <w:jc w:val="both"/>
        <w:rPr>
          <w:rFonts w:ascii="Arial" w:hAnsi="Arial" w:cs="Arial"/>
          <w:bCs/>
          <w:sz w:val="24"/>
        </w:rPr>
      </w:pPr>
    </w:p>
    <w:sectPr w:rsidR="00F7575A" w:rsidRPr="006F757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62F" w:rsidRDefault="00FA162F" w:rsidP="00996C89">
      <w:pPr>
        <w:spacing w:after="0" w:line="240" w:lineRule="auto"/>
      </w:pPr>
      <w:r>
        <w:separator/>
      </w:r>
    </w:p>
  </w:endnote>
  <w:endnote w:type="continuationSeparator" w:id="0">
    <w:p w:rsidR="00FA162F" w:rsidRDefault="00FA162F" w:rsidP="0099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7971595"/>
      <w:docPartObj>
        <w:docPartGallery w:val="Page Numbers (Bottom of Page)"/>
        <w:docPartUnique/>
      </w:docPartObj>
    </w:sdtPr>
    <w:sdtContent>
      <w:p w:rsidR="00996C89" w:rsidRDefault="00996C8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96C89" w:rsidRDefault="00996C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62F" w:rsidRDefault="00FA162F" w:rsidP="00996C89">
      <w:pPr>
        <w:spacing w:after="0" w:line="240" w:lineRule="auto"/>
      </w:pPr>
      <w:r>
        <w:separator/>
      </w:r>
    </w:p>
  </w:footnote>
  <w:footnote w:type="continuationSeparator" w:id="0">
    <w:p w:rsidR="00FA162F" w:rsidRDefault="00FA162F" w:rsidP="00996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E4307"/>
    <w:multiLevelType w:val="hybridMultilevel"/>
    <w:tmpl w:val="7018D6B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C4654"/>
    <w:multiLevelType w:val="hybridMultilevel"/>
    <w:tmpl w:val="9392E95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10B7D"/>
    <w:multiLevelType w:val="hybridMultilevel"/>
    <w:tmpl w:val="505AE1F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BB"/>
    <w:rsid w:val="001939FD"/>
    <w:rsid w:val="006F7574"/>
    <w:rsid w:val="007268C4"/>
    <w:rsid w:val="00996C89"/>
    <w:rsid w:val="00BE55BB"/>
    <w:rsid w:val="00F7575A"/>
    <w:rsid w:val="00FA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772E1F9-41B7-476D-A671-2F46BEA4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574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nhideWhenUsed/>
    <w:rsid w:val="006F75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F7574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96C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C89"/>
  </w:style>
  <w:style w:type="paragraph" w:styleId="Piedepgina">
    <w:name w:val="footer"/>
    <w:basedOn w:val="Normal"/>
    <w:link w:val="PiedepginaCar"/>
    <w:uiPriority w:val="99"/>
    <w:unhideWhenUsed/>
    <w:rsid w:val="00996C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2019-11-11T19:22:00Z</dcterms:created>
  <dcterms:modified xsi:type="dcterms:W3CDTF">2019-11-11T19:37:00Z</dcterms:modified>
</cp:coreProperties>
</file>