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61" w:rsidRPr="005F5961" w:rsidRDefault="009D69B7" w:rsidP="009D6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4336733</wp:posOffset>
            </wp:positionH>
            <wp:positionV relativeFrom="paragraph">
              <wp:posOffset>-372745</wp:posOffset>
            </wp:positionV>
            <wp:extent cx="1152525" cy="11525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961" w:rsidRPr="005F5961"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es-ES_tradnl"/>
        </w:rPr>
        <w:t>Instituto de Educación Superior Nº 7</w:t>
      </w:r>
    </w:p>
    <w:p w:rsidR="005F5961" w:rsidRPr="005F5961" w:rsidRDefault="005F5961" w:rsidP="009D69B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es-ES_tradnl"/>
        </w:rPr>
      </w:pPr>
    </w:p>
    <w:p w:rsidR="005F5961" w:rsidRPr="005F5961" w:rsidRDefault="005F5961" w:rsidP="009D6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es-ES_tradnl"/>
        </w:rPr>
      </w:pPr>
      <w:r w:rsidRPr="005F5961"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es-ES_tradnl"/>
        </w:rPr>
        <w:t>“Brigadier Estanislao López”</w:t>
      </w:r>
    </w:p>
    <w:p w:rsidR="005F5961" w:rsidRPr="005F5961" w:rsidRDefault="005F5961" w:rsidP="009D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5F5961" w:rsidRPr="005F5961" w:rsidRDefault="005F5961" w:rsidP="009D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5F5961" w:rsidRPr="005F5961" w:rsidRDefault="005F5961" w:rsidP="009D69B7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_tradnl" w:eastAsia="es-ES_tradnl"/>
        </w:rPr>
      </w:pPr>
    </w:p>
    <w:p w:rsidR="005F5961" w:rsidRPr="005F5961" w:rsidRDefault="005F5961" w:rsidP="009D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5F5961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Sección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: </w:t>
      </w:r>
      <w:r>
        <w:t xml:space="preserve">Tecnicatura </w:t>
      </w:r>
      <w:r w:rsidRPr="00282757">
        <w:t>Superior en Gestión de Energías Renovables, Uso Racional y Eficiencia Energética.</w:t>
      </w:r>
    </w:p>
    <w:p w:rsidR="005F5961" w:rsidRPr="005F5961" w:rsidRDefault="005F5961" w:rsidP="009D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</w:pPr>
    </w:p>
    <w:p w:rsidR="005F5961" w:rsidRPr="008F6A80" w:rsidRDefault="005F5961" w:rsidP="009D69B7">
      <w:pPr>
        <w:spacing w:after="0" w:line="240" w:lineRule="auto"/>
        <w:jc w:val="both"/>
      </w:pPr>
      <w:r w:rsidRPr="008F6A80">
        <w:rPr>
          <w:b/>
        </w:rPr>
        <w:t>Cátedra:</w:t>
      </w:r>
      <w:r w:rsidRPr="008F6A80">
        <w:t xml:space="preserve"> Problemáticas Socio contemporáneas.</w:t>
      </w:r>
    </w:p>
    <w:p w:rsidR="005F5961" w:rsidRPr="008F6A80" w:rsidRDefault="005F5961" w:rsidP="009D69B7">
      <w:pPr>
        <w:spacing w:after="0" w:line="240" w:lineRule="auto"/>
        <w:jc w:val="both"/>
      </w:pPr>
    </w:p>
    <w:p w:rsidR="005F5961" w:rsidRPr="008F6A80" w:rsidRDefault="005F5961" w:rsidP="009D69B7">
      <w:pPr>
        <w:spacing w:after="0" w:line="240" w:lineRule="auto"/>
        <w:jc w:val="both"/>
      </w:pPr>
      <w:r w:rsidRPr="008F6A80">
        <w:rPr>
          <w:b/>
        </w:rPr>
        <w:t>Año en plan de estudio:</w:t>
      </w:r>
      <w:r w:rsidRPr="008F6A80">
        <w:t xml:space="preserve"> 2do.</w:t>
      </w:r>
    </w:p>
    <w:p w:rsidR="005F5961" w:rsidRPr="008F6A80" w:rsidRDefault="005F5961" w:rsidP="009D69B7">
      <w:pPr>
        <w:spacing w:after="0" w:line="240" w:lineRule="auto"/>
        <w:jc w:val="both"/>
      </w:pPr>
    </w:p>
    <w:p w:rsidR="005F5961" w:rsidRPr="008F6A80" w:rsidRDefault="005F5961" w:rsidP="009D69B7">
      <w:pPr>
        <w:spacing w:after="0" w:line="240" w:lineRule="auto"/>
        <w:jc w:val="both"/>
      </w:pPr>
      <w:r w:rsidRPr="008F6A80">
        <w:rPr>
          <w:b/>
        </w:rPr>
        <w:t xml:space="preserve">Profesor: </w:t>
      </w:r>
      <w:r w:rsidRPr="008F6A80">
        <w:t>Lic. Prof. Daniel Garza.</w:t>
      </w:r>
    </w:p>
    <w:p w:rsidR="005F5961" w:rsidRPr="008F6A80" w:rsidRDefault="005F5961" w:rsidP="009D69B7">
      <w:pPr>
        <w:spacing w:after="0" w:line="240" w:lineRule="auto"/>
        <w:jc w:val="both"/>
      </w:pPr>
    </w:p>
    <w:p w:rsidR="005F5961" w:rsidRPr="008F6A80" w:rsidRDefault="005F5961" w:rsidP="009D69B7">
      <w:pPr>
        <w:spacing w:after="0" w:line="240" w:lineRule="auto"/>
        <w:jc w:val="both"/>
      </w:pPr>
      <w:r w:rsidRPr="008F6A80">
        <w:rPr>
          <w:b/>
        </w:rPr>
        <w:t>Ciclo lectivo:</w:t>
      </w:r>
      <w:r w:rsidRPr="008F6A80">
        <w:t xml:space="preserve"> 2017.</w:t>
      </w:r>
    </w:p>
    <w:p w:rsidR="005F5961" w:rsidRPr="005F5961" w:rsidRDefault="005F5961" w:rsidP="009D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5F5961" w:rsidRPr="005F5961" w:rsidRDefault="005F5961" w:rsidP="009D6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5F5961" w:rsidRPr="005F5961" w:rsidRDefault="005F5961" w:rsidP="009D69B7">
      <w:pPr>
        <w:spacing w:after="0" w:line="240" w:lineRule="auto"/>
        <w:jc w:val="both"/>
        <w:rPr>
          <w:b/>
        </w:rPr>
      </w:pPr>
      <w:r w:rsidRPr="005F5961">
        <w:rPr>
          <w:b/>
        </w:rPr>
        <w:t>Fundamentación</w:t>
      </w:r>
    </w:p>
    <w:p w:rsidR="005F5961" w:rsidRPr="009D69B7" w:rsidRDefault="005F5961" w:rsidP="009D69B7">
      <w:pPr>
        <w:spacing w:after="0" w:line="240" w:lineRule="auto"/>
        <w:jc w:val="both"/>
        <w:rPr>
          <w:b/>
        </w:rPr>
      </w:pPr>
    </w:p>
    <w:p w:rsidR="005F5961" w:rsidRDefault="002D332F" w:rsidP="009D69B7">
      <w:pPr>
        <w:spacing w:after="0" w:line="240" w:lineRule="auto"/>
        <w:jc w:val="both"/>
      </w:pPr>
      <w:r>
        <w:t>El Técnico Superior en</w:t>
      </w:r>
      <w:r w:rsidR="005F5961" w:rsidRPr="00282757">
        <w:t xml:space="preserve"> Gestión de Energías Renovables, Uso R</w:t>
      </w:r>
      <w:r w:rsidR="005F5961">
        <w:t xml:space="preserve">acional y Eficiencia Energética, </w:t>
      </w:r>
      <w:r>
        <w:t xml:space="preserve">debe reconocer en qué condiciones sociales desempeña su tarea, a fin de ser capaz de comprender la forma de adaptar las técnicas y teorías de su competencia a las particularidades del entorno, con el objeto de poder responder a las cambiantes situaciones del mundo contemporáneo. </w:t>
      </w:r>
    </w:p>
    <w:p w:rsidR="002D332F" w:rsidRDefault="002D332F" w:rsidP="009D69B7">
      <w:pPr>
        <w:spacing w:after="0" w:line="240" w:lineRule="auto"/>
        <w:jc w:val="both"/>
      </w:pPr>
      <w:r>
        <w:t>Los cambios recientes en la política, la economía, las condiciones sociales, y lo cultural; determinan un entorno de gran complejidad y dinamismo que requiere entender la trayectoria y las tendencias que implican los actuales procesos de transformación social. Asimismo, el T</w:t>
      </w:r>
      <w:r w:rsidR="005F5961">
        <w:t xml:space="preserve">écnico Superior en </w:t>
      </w:r>
      <w:r>
        <w:t xml:space="preserve">debe ser capaz de situar su accionar dentro de la función social que desempeñará, permitiéndole aportar a su desarrollo profesional un valor de fundamental trascendencia. Al mismo tiempo esta necesidad se ve incrementada por la creciente competitividad que genera en todos los ámbitos el proceso de globalización y transnacionalización de la producción; que lejos de detenerse, se ha profundizado a partir de la reciente crisis económico-financiera internacional. </w:t>
      </w:r>
    </w:p>
    <w:p w:rsidR="005F5961" w:rsidRPr="005F5961" w:rsidRDefault="005F5961" w:rsidP="009D69B7">
      <w:pPr>
        <w:spacing w:after="0" w:line="240" w:lineRule="auto"/>
        <w:jc w:val="both"/>
      </w:pPr>
    </w:p>
    <w:p w:rsidR="009D69B7" w:rsidRDefault="009D69B7" w:rsidP="009D69B7">
      <w:pPr>
        <w:jc w:val="both"/>
        <w:rPr>
          <w:b/>
        </w:rPr>
      </w:pPr>
    </w:p>
    <w:p w:rsidR="005F5961" w:rsidRPr="00D67D89" w:rsidRDefault="005F5961" w:rsidP="009D69B7">
      <w:pPr>
        <w:jc w:val="both"/>
        <w:rPr>
          <w:b/>
        </w:rPr>
      </w:pPr>
      <w:r w:rsidRPr="00D67D89">
        <w:rPr>
          <w:b/>
        </w:rPr>
        <w:t>Propósitos</w:t>
      </w:r>
      <w:r w:rsidR="002D332F" w:rsidRPr="00D67D89">
        <w:rPr>
          <w:b/>
        </w:rPr>
        <w:t xml:space="preserve"> </w:t>
      </w:r>
      <w:r w:rsidRPr="00D67D89">
        <w:rPr>
          <w:b/>
        </w:rPr>
        <w:t>generales de la cátedra</w:t>
      </w:r>
    </w:p>
    <w:p w:rsidR="002D332F" w:rsidRDefault="002D332F" w:rsidP="009D69B7">
      <w:pPr>
        <w:jc w:val="both"/>
      </w:pPr>
      <w:r>
        <w:t xml:space="preserve">A partir de la materia se busca que el futuro del egresado pueda situar su accionar en la realidad social que lo rodea, reconociendo los desafíos actuales y futuros que dicha realidad implica; y el rol particular que le ocupa a nivel social. Para ello es necesario que comprenda los procesos de gestación del Estado, la Economía y la Sociedad moderna, y particularmente las condiciones que dicha gestación ha tenido en la argentina; y que han configurado fuertemente nuestra condición actual. </w:t>
      </w:r>
    </w:p>
    <w:p w:rsidR="005F5961" w:rsidRPr="005F5961" w:rsidRDefault="005F5961" w:rsidP="009D69B7">
      <w:pPr>
        <w:pStyle w:val="Textoindependiente"/>
        <w:rPr>
          <w:rFonts w:asciiTheme="minorHAnsi" w:eastAsiaTheme="minorHAnsi" w:hAnsiTheme="minorHAnsi" w:cstheme="minorBidi"/>
          <w:szCs w:val="22"/>
          <w:lang w:val="es-AR" w:eastAsia="en-US"/>
        </w:rPr>
      </w:pPr>
      <w:r w:rsidRPr="005F5961">
        <w:rPr>
          <w:rFonts w:asciiTheme="minorHAnsi" w:eastAsiaTheme="minorHAnsi" w:hAnsiTheme="minorHAnsi" w:cstheme="minorBidi"/>
          <w:szCs w:val="22"/>
          <w:lang w:val="es-AR" w:eastAsia="en-US"/>
        </w:rPr>
        <w:t xml:space="preserve">Los contenidos desarrollados en </w:t>
      </w:r>
      <w:smartTag w:uri="urn:schemas-microsoft-com:office:smarttags" w:element="PersonName">
        <w:smartTagPr>
          <w:attr w:name="ProductID" w:val="la Asignatura Problem￡ticas"/>
        </w:smartTagPr>
        <w:r w:rsidRPr="005F5961">
          <w:rPr>
            <w:rFonts w:asciiTheme="minorHAnsi" w:eastAsiaTheme="minorHAnsi" w:hAnsiTheme="minorHAnsi" w:cstheme="minorBidi"/>
            <w:szCs w:val="22"/>
            <w:lang w:val="es-AR" w:eastAsia="en-US"/>
          </w:rPr>
          <w:t>la Asignatura Problemáticas</w:t>
        </w:r>
      </w:smartTag>
      <w:r w:rsidRPr="005F5961">
        <w:rPr>
          <w:rFonts w:asciiTheme="minorHAnsi" w:eastAsiaTheme="minorHAnsi" w:hAnsiTheme="minorHAnsi" w:cstheme="minorBidi"/>
          <w:szCs w:val="22"/>
          <w:lang w:val="es-AR" w:eastAsia="en-US"/>
        </w:rPr>
        <w:t xml:space="preserve"> Contemporáneas, abordados a partir de la multiplicidad de relaciones que se establecen entre la historia y la geografía -dos disciplinas núcleo en ciencias sociales-, se centran en el análisis de los principales procesos políticos, </w:t>
      </w:r>
      <w:r w:rsidRPr="005F5961">
        <w:rPr>
          <w:rFonts w:asciiTheme="minorHAnsi" w:eastAsiaTheme="minorHAnsi" w:hAnsiTheme="minorHAnsi" w:cstheme="minorBidi"/>
          <w:szCs w:val="22"/>
          <w:lang w:val="es-AR" w:eastAsia="en-US"/>
        </w:rPr>
        <w:lastRenderedPageBreak/>
        <w:t xml:space="preserve">económico-sociales, territoriales, ideológicos y culturales que caracterizan la historia del siglo XX, en el marco mundial, latinoamericano y en especial en </w:t>
      </w:r>
      <w:smartTag w:uri="urn:schemas-microsoft-com:office:smarttags" w:element="PersonName">
        <w:smartTagPr>
          <w:attr w:name="ProductID" w:val="la Argentina."/>
        </w:smartTagPr>
        <w:r w:rsidRPr="005F5961">
          <w:rPr>
            <w:rFonts w:asciiTheme="minorHAnsi" w:eastAsiaTheme="minorHAnsi" w:hAnsiTheme="minorHAnsi" w:cstheme="minorBidi"/>
            <w:szCs w:val="22"/>
            <w:lang w:val="es-AR" w:eastAsia="en-US"/>
          </w:rPr>
          <w:t>la Argentina.</w:t>
        </w:r>
      </w:smartTag>
    </w:p>
    <w:p w:rsidR="005F5961" w:rsidRPr="005F5961" w:rsidRDefault="005F5961" w:rsidP="009D69B7">
      <w:pPr>
        <w:pStyle w:val="Sangradetextonormal"/>
        <w:ind w:left="0"/>
        <w:rPr>
          <w:rFonts w:asciiTheme="minorHAnsi" w:eastAsiaTheme="minorHAnsi" w:hAnsiTheme="minorHAnsi" w:cstheme="minorBidi"/>
          <w:szCs w:val="22"/>
          <w:lang w:val="es-AR" w:eastAsia="en-US"/>
        </w:rPr>
      </w:pPr>
      <w:r w:rsidRPr="005F5961">
        <w:rPr>
          <w:rFonts w:asciiTheme="minorHAnsi" w:eastAsiaTheme="minorHAnsi" w:hAnsiTheme="minorHAnsi" w:cstheme="minorBidi"/>
          <w:szCs w:val="22"/>
          <w:lang w:val="es-AR" w:eastAsia="en-US"/>
        </w:rPr>
        <w:t>Entrelaza contenidos planetarios y nacionales, en íntima conexión, como las relaciones internacionales y las integraciones y las desintegraciones políticas; la urbanización y problemáticas sociales como el desempleo y los refugiados contemporáneos, el deterioro ambiental y el desarrollo sustentable, la globalización y la revolución tecnológica.</w:t>
      </w:r>
    </w:p>
    <w:p w:rsidR="005F5961" w:rsidRPr="005F5961" w:rsidRDefault="005F5961" w:rsidP="009D69B7">
      <w:pPr>
        <w:pStyle w:val="Sangradetextonormal"/>
        <w:ind w:left="0"/>
        <w:rPr>
          <w:rFonts w:asciiTheme="minorHAnsi" w:hAnsiTheme="minorHAnsi" w:cstheme="minorBidi"/>
        </w:rPr>
      </w:pPr>
      <w:r w:rsidRPr="005F5961">
        <w:rPr>
          <w:rFonts w:asciiTheme="minorHAnsi" w:eastAsiaTheme="minorHAnsi" w:hAnsiTheme="minorHAnsi" w:cstheme="minorBidi"/>
          <w:szCs w:val="22"/>
          <w:lang w:val="es-AR" w:eastAsia="en-US"/>
        </w:rPr>
        <w:t xml:space="preserve">La periodización adoptada para este análisis reconoce como punto de partida las profundas y perdurables consecuencias aparejadas por </w:t>
      </w:r>
      <w:r>
        <w:rPr>
          <w:rFonts w:asciiTheme="minorHAnsi" w:eastAsiaTheme="minorHAnsi" w:hAnsiTheme="minorHAnsi" w:cstheme="minorBidi"/>
          <w:szCs w:val="22"/>
          <w:lang w:val="es-AR" w:eastAsia="en-US"/>
        </w:rPr>
        <w:t xml:space="preserve">el/los inicio/s del capitalismo, pasando por los orígenes del comunismo y las teorías de la posmodernidad. </w:t>
      </w:r>
      <w:r>
        <w:t>L</w:t>
      </w:r>
      <w:r w:rsidRPr="005F5961">
        <w:rPr>
          <w:rFonts w:asciiTheme="minorHAnsi" w:hAnsiTheme="minorHAnsi" w:cstheme="minorBidi"/>
        </w:rPr>
        <w:t xml:space="preserve">a comprensión e </w:t>
      </w:r>
      <w:r w:rsidRPr="005F5961">
        <w:t>interpretación de</w:t>
      </w:r>
      <w:r w:rsidRPr="005F5961">
        <w:rPr>
          <w:rFonts w:asciiTheme="minorHAnsi" w:hAnsiTheme="minorHAnsi" w:cstheme="minorBidi"/>
        </w:rPr>
        <w:t xml:space="preserve"> dichos procesos, dado el carácter controversial de los mismos, </w:t>
      </w:r>
      <w:r w:rsidRPr="005F5961">
        <w:t>requiere trabajar</w:t>
      </w:r>
      <w:r w:rsidRPr="005F5961">
        <w:rPr>
          <w:rFonts w:asciiTheme="minorHAnsi" w:hAnsiTheme="minorHAnsi" w:cstheme="minorBidi"/>
        </w:rPr>
        <w:t xml:space="preserve"> con </w:t>
      </w:r>
      <w:r w:rsidRPr="005F5961">
        <w:t>fuentes que</w:t>
      </w:r>
      <w:r w:rsidRPr="005F5961">
        <w:rPr>
          <w:rFonts w:asciiTheme="minorHAnsi" w:hAnsiTheme="minorHAnsi" w:cstheme="minorBidi"/>
        </w:rPr>
        <w:t xml:space="preserve"> contengan interpretaciones diversas y contrapuestas que permitan a los alumnos la elaboración de un juicio </w:t>
      </w:r>
      <w:r w:rsidRPr="005F5961">
        <w:t>crítico de</w:t>
      </w:r>
      <w:r w:rsidRPr="005F5961">
        <w:rPr>
          <w:rFonts w:asciiTheme="minorHAnsi" w:hAnsiTheme="minorHAnsi" w:cstheme="minorBidi"/>
        </w:rPr>
        <w:t xml:space="preserve"> la que constituye su realidad presente.</w:t>
      </w:r>
    </w:p>
    <w:p w:rsidR="005F5961" w:rsidRDefault="005F5961" w:rsidP="009D69B7">
      <w:pPr>
        <w:jc w:val="both"/>
      </w:pPr>
    </w:p>
    <w:p w:rsidR="005F5961" w:rsidRPr="00D67D89" w:rsidRDefault="00D67D89" w:rsidP="009D69B7">
      <w:pPr>
        <w:jc w:val="both"/>
        <w:rPr>
          <w:b/>
        </w:rPr>
      </w:pPr>
      <w:r w:rsidRPr="00D67D89">
        <w:rPr>
          <w:b/>
        </w:rPr>
        <w:t xml:space="preserve">Objetivos específicos: </w:t>
      </w:r>
    </w:p>
    <w:p w:rsidR="005F5961" w:rsidRDefault="002D332F" w:rsidP="009D69B7">
      <w:pPr>
        <w:jc w:val="both"/>
      </w:pPr>
      <w:r>
        <w:t xml:space="preserve">- Utilizar los conceptos teóricos e históricos con precisión y adecuación. </w:t>
      </w:r>
    </w:p>
    <w:p w:rsidR="005F5961" w:rsidRDefault="002D332F" w:rsidP="009D69B7">
      <w:pPr>
        <w:jc w:val="both"/>
      </w:pPr>
      <w:r>
        <w:t xml:space="preserve">- Caracterizar el proceso histórico de conformación de la Modernidad incluyendo la conformación de la sociedad, el estado, la economía y la Ciencia de la modernidad. </w:t>
      </w:r>
    </w:p>
    <w:p w:rsidR="005F5961" w:rsidRDefault="002D332F" w:rsidP="009D69B7">
      <w:pPr>
        <w:jc w:val="both"/>
      </w:pPr>
      <w:r>
        <w:t xml:space="preserve">- Caracterizar los cambios que se producen en las últimas décadas del siglo XX hasta nuestros días y que justifican para algunos la caracterización de posmodernidad para la época contemporánea. </w:t>
      </w:r>
    </w:p>
    <w:p w:rsidR="005F5961" w:rsidRDefault="002D332F" w:rsidP="009D69B7">
      <w:pPr>
        <w:jc w:val="both"/>
      </w:pPr>
      <w:r>
        <w:t xml:space="preserve">- Conocer las particularidades que ambas etapas tuvieron en nuestro país. </w:t>
      </w:r>
    </w:p>
    <w:p w:rsidR="00DD0F90" w:rsidRDefault="005F5961" w:rsidP="009D69B7">
      <w:pPr>
        <w:jc w:val="both"/>
      </w:pPr>
      <w:r>
        <w:t xml:space="preserve">- </w:t>
      </w:r>
      <w:r w:rsidR="002D332F">
        <w:t xml:space="preserve">Definir y caracterizar las problemáticas sociales actuales y emergentes, reconociendo sus condicionantes históricos, características actuales y sus posibles evoluciones. </w:t>
      </w:r>
    </w:p>
    <w:p w:rsidR="00D67D89" w:rsidRPr="00D67D89" w:rsidRDefault="00D67D89" w:rsidP="009D69B7">
      <w:pPr>
        <w:jc w:val="both"/>
      </w:pPr>
      <w:r>
        <w:t xml:space="preserve">- </w:t>
      </w:r>
      <w:r w:rsidRPr="00D67D89">
        <w:t>Analizar la evolución de la organización espacial de algunas áreas seleccionadas teniendo en cuenta procesos socio-económicos a gran escala.</w:t>
      </w:r>
    </w:p>
    <w:p w:rsidR="00D67D89" w:rsidRPr="00D67D89" w:rsidRDefault="00D67D89" w:rsidP="009D69B7">
      <w:pPr>
        <w:jc w:val="both"/>
      </w:pPr>
      <w:r>
        <w:t xml:space="preserve">- </w:t>
      </w:r>
      <w:r w:rsidRPr="00D67D89">
        <w:t xml:space="preserve">Desarrollar una opinión crítica sobre la actual conformación socio económica de los espacios </w:t>
      </w:r>
      <w:proofErr w:type="gramStart"/>
      <w:r w:rsidRPr="00D67D89">
        <w:t>seleccionadas</w:t>
      </w:r>
      <w:proofErr w:type="gramEnd"/>
      <w:r w:rsidRPr="00D67D89">
        <w:t>.</w:t>
      </w:r>
    </w:p>
    <w:p w:rsidR="00D67D89" w:rsidRPr="00D67D89" w:rsidRDefault="00D67D89" w:rsidP="009D69B7">
      <w:pPr>
        <w:jc w:val="both"/>
      </w:pPr>
      <w:r>
        <w:t xml:space="preserve">- </w:t>
      </w:r>
      <w:r w:rsidRPr="00D67D89">
        <w:t>Caracterizar las transformaciones que se presentaron en el transcurso del siglo XX en nuestro país, a partir de la constitución de distintas identidades políticas de los sectores populares y de la elite: sus proyectos, conflictos, prácticas y resultados.</w:t>
      </w:r>
    </w:p>
    <w:p w:rsidR="00DD0F90" w:rsidRPr="00D67D89" w:rsidRDefault="00DD0F90" w:rsidP="009D69B7">
      <w:pPr>
        <w:jc w:val="both"/>
        <w:rPr>
          <w:b/>
        </w:rPr>
      </w:pPr>
    </w:p>
    <w:p w:rsidR="00DD0F90" w:rsidRPr="00D67D89" w:rsidRDefault="00DD0F90" w:rsidP="009D69B7">
      <w:pPr>
        <w:jc w:val="both"/>
        <w:rPr>
          <w:b/>
        </w:rPr>
      </w:pPr>
      <w:r w:rsidRPr="00D67D89">
        <w:rPr>
          <w:b/>
        </w:rPr>
        <w:t>Eje Articulador:</w:t>
      </w:r>
    </w:p>
    <w:p w:rsidR="00DD0F90" w:rsidRPr="00D67D89" w:rsidRDefault="00DD0F90" w:rsidP="009D69B7">
      <w:pPr>
        <w:pStyle w:val="Textoindependiente"/>
        <w:rPr>
          <w:rFonts w:asciiTheme="minorHAnsi" w:eastAsiaTheme="minorHAnsi" w:hAnsiTheme="minorHAnsi" w:cstheme="minorBidi"/>
          <w:szCs w:val="22"/>
          <w:lang w:val="es-AR" w:eastAsia="en-US"/>
        </w:rPr>
      </w:pPr>
      <w:r w:rsidRPr="00D67D89">
        <w:rPr>
          <w:rFonts w:asciiTheme="minorHAnsi" w:eastAsiaTheme="minorHAnsi" w:hAnsiTheme="minorHAnsi" w:cstheme="minorBidi"/>
          <w:szCs w:val="22"/>
          <w:lang w:val="es-AR" w:eastAsia="en-US"/>
        </w:rPr>
        <w:t>El siglo XX en el marco mundial y argentino: políticas estatales y económicas, formas de vida</w:t>
      </w:r>
      <w:r w:rsidR="005F5961" w:rsidRPr="00D67D89">
        <w:rPr>
          <w:rFonts w:asciiTheme="minorHAnsi" w:eastAsiaTheme="minorHAnsi" w:hAnsiTheme="minorHAnsi" w:cstheme="minorBidi"/>
          <w:szCs w:val="22"/>
          <w:lang w:val="es-AR" w:eastAsia="en-US"/>
        </w:rPr>
        <w:t>, valores, usos y costumbres,</w:t>
      </w:r>
      <w:r w:rsidR="00D67D89" w:rsidRPr="00D67D89">
        <w:rPr>
          <w:rFonts w:asciiTheme="minorHAnsi" w:eastAsiaTheme="minorHAnsi" w:hAnsiTheme="minorHAnsi" w:cstheme="minorBidi"/>
          <w:szCs w:val="22"/>
          <w:lang w:val="es-AR" w:eastAsia="en-US"/>
        </w:rPr>
        <w:t xml:space="preserve"> </w:t>
      </w:r>
      <w:r w:rsidRPr="00D67D89">
        <w:rPr>
          <w:rFonts w:asciiTheme="minorHAnsi" w:eastAsiaTheme="minorHAnsi" w:hAnsiTheme="minorHAnsi" w:cstheme="minorBidi"/>
          <w:szCs w:val="22"/>
          <w:lang w:val="es-AR" w:eastAsia="en-US"/>
        </w:rPr>
        <w:t>y configuración territorial</w:t>
      </w:r>
      <w:r w:rsidR="005F5961" w:rsidRPr="00D67D89">
        <w:rPr>
          <w:rFonts w:asciiTheme="minorHAnsi" w:eastAsiaTheme="minorHAnsi" w:hAnsiTheme="minorHAnsi" w:cstheme="minorBidi"/>
          <w:szCs w:val="22"/>
          <w:lang w:val="es-AR" w:eastAsia="en-US"/>
        </w:rPr>
        <w:t>.</w:t>
      </w:r>
    </w:p>
    <w:p w:rsidR="00DD0F90" w:rsidRPr="00D67D89" w:rsidRDefault="00DD0F90" w:rsidP="009D69B7">
      <w:pPr>
        <w:jc w:val="both"/>
      </w:pPr>
    </w:p>
    <w:p w:rsidR="009D69B7" w:rsidRDefault="00DD0F90" w:rsidP="009D69B7">
      <w:pPr>
        <w:pStyle w:val="Ttulo2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val="es-AR" w:eastAsia="en-US"/>
        </w:rPr>
      </w:pPr>
      <w:r w:rsidRPr="00D67D89">
        <w:rPr>
          <w:rFonts w:asciiTheme="minorHAnsi" w:eastAsiaTheme="minorHAnsi" w:hAnsiTheme="minorHAnsi" w:cstheme="minorBidi"/>
          <w:sz w:val="22"/>
          <w:szCs w:val="22"/>
          <w:u w:val="none"/>
          <w:lang w:val="es-AR" w:eastAsia="en-US"/>
        </w:rPr>
        <w:t xml:space="preserve">Categorías </w:t>
      </w:r>
      <w:r w:rsidR="00D67D89">
        <w:rPr>
          <w:rFonts w:asciiTheme="minorHAnsi" w:eastAsiaTheme="minorHAnsi" w:hAnsiTheme="minorHAnsi" w:cstheme="minorBidi"/>
          <w:sz w:val="22"/>
          <w:szCs w:val="22"/>
          <w:u w:val="none"/>
          <w:lang w:val="es-AR" w:eastAsia="en-US"/>
        </w:rPr>
        <w:t>d</w:t>
      </w:r>
      <w:r w:rsidRPr="00D67D89">
        <w:rPr>
          <w:rFonts w:asciiTheme="minorHAnsi" w:eastAsiaTheme="minorHAnsi" w:hAnsiTheme="minorHAnsi" w:cstheme="minorBidi"/>
          <w:sz w:val="22"/>
          <w:szCs w:val="22"/>
          <w:u w:val="none"/>
          <w:lang w:val="es-AR" w:eastAsia="en-US"/>
        </w:rPr>
        <w:t xml:space="preserve">e </w:t>
      </w:r>
      <w:r w:rsidR="00D67D89">
        <w:rPr>
          <w:rFonts w:asciiTheme="minorHAnsi" w:eastAsiaTheme="minorHAnsi" w:hAnsiTheme="minorHAnsi" w:cstheme="minorBidi"/>
          <w:sz w:val="22"/>
          <w:szCs w:val="22"/>
          <w:u w:val="none"/>
          <w:lang w:val="es-AR" w:eastAsia="en-US"/>
        </w:rPr>
        <w:t>análisis Y núcleos t</w:t>
      </w:r>
      <w:r w:rsidRPr="00D67D89">
        <w:rPr>
          <w:rFonts w:asciiTheme="minorHAnsi" w:eastAsiaTheme="minorHAnsi" w:hAnsiTheme="minorHAnsi" w:cstheme="minorBidi"/>
          <w:sz w:val="22"/>
          <w:szCs w:val="22"/>
          <w:u w:val="none"/>
          <w:lang w:val="es-AR" w:eastAsia="en-US"/>
        </w:rPr>
        <w:t>emáticos</w:t>
      </w:r>
    </w:p>
    <w:p w:rsidR="00DD0F90" w:rsidRPr="009D69B7" w:rsidRDefault="00D67D89" w:rsidP="009D69B7">
      <w:pPr>
        <w:pStyle w:val="Ttulo2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val="es-AR" w:eastAsia="en-US"/>
        </w:rPr>
      </w:pPr>
      <w:r w:rsidRPr="00D67D89"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val="es-AR" w:eastAsia="en-US"/>
        </w:rPr>
        <w:t>El planteo</w:t>
      </w:r>
      <w:r w:rsidR="00DD0F90" w:rsidRPr="00D67D89"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val="es-AR" w:eastAsia="en-US"/>
        </w:rPr>
        <w:t xml:space="preserve"> de </w:t>
      </w:r>
      <w:r w:rsidRPr="00D67D89"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val="es-AR" w:eastAsia="en-US"/>
        </w:rPr>
        <w:t>los contenidos</w:t>
      </w:r>
      <w:r w:rsidR="00DD0F90" w:rsidRPr="00D67D89"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val="es-AR" w:eastAsia="en-US"/>
        </w:rPr>
        <w:t xml:space="preserve"> se abordará </w:t>
      </w:r>
      <w:r w:rsidR="009D69B7" w:rsidRPr="00D67D89"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val="es-AR" w:eastAsia="en-US"/>
        </w:rPr>
        <w:t>desde las</w:t>
      </w:r>
      <w:r w:rsidR="00DD0F90" w:rsidRPr="00D67D89"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val="es-AR" w:eastAsia="en-US"/>
        </w:rPr>
        <w:t xml:space="preserve"> siguientes categorías de análisis y núcleos temáticos</w:t>
      </w:r>
      <w: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val="es-AR" w:eastAsia="en-US"/>
        </w:rPr>
        <w:t>:</w:t>
      </w:r>
      <w:r w:rsidR="00DD0F90" w:rsidRPr="00D67D89"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val="es-AR" w:eastAsia="en-US"/>
        </w:rPr>
        <w:t xml:space="preserve">  </w:t>
      </w:r>
    </w:p>
    <w:p w:rsidR="00DD0F90" w:rsidRPr="00D67D89" w:rsidRDefault="00DD0F90" w:rsidP="009D69B7">
      <w:pPr>
        <w:jc w:val="both"/>
      </w:pPr>
    </w:p>
    <w:p w:rsidR="00DD0F90" w:rsidRPr="00D67D89" w:rsidRDefault="00DD0F90" w:rsidP="009D69B7">
      <w:pPr>
        <w:pStyle w:val="Ttulo2"/>
        <w:jc w:val="both"/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val="es-AR" w:eastAsia="en-US"/>
        </w:rPr>
      </w:pPr>
      <w:r w:rsidRPr="00D67D89"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val="es-AR" w:eastAsia="en-US"/>
        </w:rPr>
        <w:lastRenderedPageBreak/>
        <w:t>Categorías de análisis:</w:t>
      </w:r>
    </w:p>
    <w:p w:rsidR="00DD0F90" w:rsidRPr="00D67D89" w:rsidRDefault="00DD0F90" w:rsidP="009D69B7">
      <w:pPr>
        <w:pStyle w:val="Ttulo2"/>
        <w:jc w:val="both"/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val="es-AR" w:eastAsia="en-US"/>
        </w:rPr>
      </w:pPr>
      <w:r w:rsidRPr="00D67D89"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val="es-AR" w:eastAsia="en-US"/>
        </w:rPr>
        <w:sym w:font="Symbol" w:char="F0B7"/>
      </w:r>
      <w:r w:rsidRPr="00D67D89"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val="es-AR" w:eastAsia="en-US"/>
        </w:rPr>
        <w:t xml:space="preserve">Continuidad y cambio </w:t>
      </w:r>
      <w:r w:rsidRPr="00D67D89"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val="es-AR" w:eastAsia="en-US"/>
        </w:rPr>
        <w:sym w:font="Symbol" w:char="F0B7"/>
      </w:r>
      <w:r w:rsidRPr="00D67D89"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val="es-AR" w:eastAsia="en-US"/>
        </w:rPr>
        <w:t xml:space="preserve">Conflicto y consenso </w:t>
      </w:r>
      <w:r w:rsidRPr="00D67D89"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val="es-AR" w:eastAsia="en-US"/>
        </w:rPr>
        <w:sym w:font="Symbol" w:char="F0B7"/>
      </w:r>
      <w:r w:rsidRPr="00D67D89"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val="es-AR" w:eastAsia="en-US"/>
        </w:rPr>
        <w:t xml:space="preserve"> Desigualdad y diversidad</w:t>
      </w:r>
    </w:p>
    <w:p w:rsidR="00DD0F90" w:rsidRPr="00D67D89" w:rsidRDefault="00DD0F90" w:rsidP="009D69B7">
      <w:pPr>
        <w:pStyle w:val="Ttulo2"/>
        <w:jc w:val="both"/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val="es-AR" w:eastAsia="en-US"/>
        </w:rPr>
      </w:pPr>
      <w:r w:rsidRPr="00D67D89"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val="es-AR" w:eastAsia="en-US"/>
        </w:rPr>
        <w:sym w:font="Symbol" w:char="F0B7"/>
      </w:r>
      <w:r w:rsidRPr="00D67D89"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val="es-AR" w:eastAsia="en-US"/>
        </w:rPr>
        <w:t xml:space="preserve"> Identidad y alteridad</w:t>
      </w:r>
      <w:r w:rsidRPr="00D67D89"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val="es-AR" w:eastAsia="en-US"/>
        </w:rPr>
        <w:sym w:font="Symbol" w:char="F0B7"/>
      </w:r>
      <w:r w:rsidRPr="00D67D89"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val="es-AR" w:eastAsia="en-US"/>
        </w:rPr>
        <w:t xml:space="preserve"> Interdependencia.</w:t>
      </w:r>
      <w:r w:rsidRPr="00D67D89"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val="es-AR" w:eastAsia="en-US"/>
        </w:rPr>
        <w:sym w:font="Symbol" w:char="F0B7"/>
      </w:r>
      <w:r w:rsidRPr="00D67D89"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val="es-AR" w:eastAsia="en-US"/>
        </w:rPr>
        <w:t xml:space="preserve"> Formas de poder</w:t>
      </w:r>
      <w:r w:rsidR="00D67D89" w:rsidRPr="00D67D89"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val="es-AR" w:eastAsia="en-US"/>
        </w:rPr>
        <w:sym w:font="Symbol" w:char="F0B7"/>
      </w:r>
      <w:r w:rsidR="00D67D89"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val="es-AR" w:eastAsia="en-US"/>
        </w:rPr>
        <w:t xml:space="preserve"> justicia e injusticia. </w:t>
      </w:r>
      <w:r w:rsidR="00D67D89" w:rsidRPr="00D67D89"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val="es-AR" w:eastAsia="en-US"/>
        </w:rPr>
        <w:sym w:font="Symbol" w:char="F0B7"/>
      </w:r>
      <w:r w:rsidR="00D67D89"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val="es-AR" w:eastAsia="en-US"/>
        </w:rPr>
        <w:t>Equidad</w:t>
      </w:r>
    </w:p>
    <w:p w:rsidR="00DD0F90" w:rsidRPr="00D67D89" w:rsidRDefault="00DD0F90" w:rsidP="009D69B7">
      <w:pPr>
        <w:jc w:val="both"/>
      </w:pPr>
    </w:p>
    <w:p w:rsidR="00DD0F90" w:rsidRPr="00D67D89" w:rsidRDefault="00DD0F90" w:rsidP="009D69B7">
      <w:pPr>
        <w:jc w:val="both"/>
      </w:pPr>
      <w:r w:rsidRPr="00D67D89">
        <w:t>Núcleos temáticos:</w:t>
      </w:r>
    </w:p>
    <w:p w:rsidR="00DD0F90" w:rsidRPr="00D67D89" w:rsidRDefault="00D67D89" w:rsidP="009D69B7">
      <w:pPr>
        <w:numPr>
          <w:ilvl w:val="0"/>
          <w:numId w:val="4"/>
        </w:numPr>
        <w:spacing w:after="0" w:line="240" w:lineRule="auto"/>
        <w:jc w:val="both"/>
      </w:pPr>
      <w:r>
        <w:t>I</w:t>
      </w:r>
      <w:r w:rsidR="00DD0F90" w:rsidRPr="00D67D89">
        <w:t>mperialismo</w:t>
      </w:r>
      <w:r>
        <w:t>, nacionalismo, colonialismo y colonización.</w:t>
      </w:r>
    </w:p>
    <w:p w:rsidR="00DD0F90" w:rsidRPr="00D67D89" w:rsidRDefault="00DD0F90" w:rsidP="009D69B7">
      <w:pPr>
        <w:numPr>
          <w:ilvl w:val="0"/>
          <w:numId w:val="5"/>
        </w:numPr>
        <w:spacing w:after="0" w:line="240" w:lineRule="auto"/>
        <w:jc w:val="both"/>
      </w:pPr>
      <w:r w:rsidRPr="00D67D89">
        <w:t>Reformas y revoluciones</w:t>
      </w:r>
      <w:r w:rsidR="00D67D89">
        <w:t>.</w:t>
      </w:r>
    </w:p>
    <w:p w:rsidR="00DD0F90" w:rsidRPr="00D67D89" w:rsidRDefault="00DD0F90" w:rsidP="009D69B7">
      <w:pPr>
        <w:numPr>
          <w:ilvl w:val="0"/>
          <w:numId w:val="6"/>
        </w:numPr>
        <w:spacing w:after="0" w:line="240" w:lineRule="auto"/>
        <w:jc w:val="both"/>
      </w:pPr>
      <w:r w:rsidRPr="00D67D89">
        <w:t>Industrialización y movimiento obrero</w:t>
      </w:r>
      <w:r w:rsidR="00D67D89">
        <w:t>.</w:t>
      </w:r>
    </w:p>
    <w:p w:rsidR="00DD0F90" w:rsidRPr="00D67D89" w:rsidRDefault="00DD0F90" w:rsidP="009D69B7">
      <w:pPr>
        <w:numPr>
          <w:ilvl w:val="0"/>
          <w:numId w:val="7"/>
        </w:numPr>
        <w:spacing w:after="0" w:line="240" w:lineRule="auto"/>
        <w:jc w:val="both"/>
      </w:pPr>
      <w:r w:rsidRPr="00D67D89">
        <w:t>Liberalismo, autoritarismo, democracia</w:t>
      </w:r>
      <w:r w:rsidR="00D67D89">
        <w:t>.</w:t>
      </w:r>
    </w:p>
    <w:p w:rsidR="00DD0F90" w:rsidRPr="00D67D89" w:rsidRDefault="005D32EF" w:rsidP="009D69B7">
      <w:pPr>
        <w:numPr>
          <w:ilvl w:val="0"/>
          <w:numId w:val="8"/>
        </w:numPr>
        <w:spacing w:after="0" w:line="240" w:lineRule="auto"/>
        <w:jc w:val="both"/>
      </w:pPr>
      <w:r w:rsidRPr="00D67D89">
        <w:t>Transnacionalización</w:t>
      </w:r>
      <w:r w:rsidR="00DD0F90" w:rsidRPr="00D67D89">
        <w:t xml:space="preserve"> financiera y crisis </w:t>
      </w:r>
      <w:r w:rsidR="00D67D89">
        <w:t>institucional (</w:t>
      </w:r>
      <w:r w:rsidR="00DD0F90" w:rsidRPr="00D67D89">
        <w:t>estados nacionales</w:t>
      </w:r>
      <w:r w:rsidR="00D67D89">
        <w:t>…)</w:t>
      </w:r>
    </w:p>
    <w:p w:rsidR="00DD0F90" w:rsidRPr="00D67D89" w:rsidRDefault="00D67D89" w:rsidP="009D69B7">
      <w:pPr>
        <w:numPr>
          <w:ilvl w:val="0"/>
          <w:numId w:val="9"/>
        </w:numPr>
        <w:spacing w:after="0" w:line="240" w:lineRule="auto"/>
        <w:jc w:val="both"/>
      </w:pPr>
      <w:r>
        <w:t>M</w:t>
      </w:r>
      <w:r w:rsidR="00DD0F90" w:rsidRPr="00D67D89">
        <w:t>odernidad-posmodernidad</w:t>
      </w:r>
    </w:p>
    <w:p w:rsidR="00DD0F90" w:rsidRPr="00D67D89" w:rsidRDefault="00DD0F90" w:rsidP="009D69B7">
      <w:pPr>
        <w:jc w:val="both"/>
      </w:pPr>
    </w:p>
    <w:p w:rsidR="00DD0F90" w:rsidRPr="00D67D89" w:rsidRDefault="00DD0F90" w:rsidP="009D69B7">
      <w:pPr>
        <w:jc w:val="both"/>
        <w:rPr>
          <w:b/>
        </w:rPr>
      </w:pPr>
      <w:r w:rsidRPr="00D67D89">
        <w:rPr>
          <w:b/>
        </w:rPr>
        <w:t>Unidades temáticas</w:t>
      </w:r>
    </w:p>
    <w:p w:rsidR="00DD0F90" w:rsidRPr="00D67D89" w:rsidRDefault="00DD0F90" w:rsidP="009D69B7">
      <w:pPr>
        <w:pStyle w:val="Ttulo2"/>
        <w:jc w:val="both"/>
        <w:rPr>
          <w:rFonts w:asciiTheme="minorHAnsi" w:eastAsiaTheme="minorHAnsi" w:hAnsiTheme="minorHAnsi" w:cstheme="minorBidi"/>
          <w:sz w:val="22"/>
          <w:szCs w:val="22"/>
          <w:u w:val="none"/>
          <w:lang w:val="es-AR" w:eastAsia="en-US"/>
        </w:rPr>
      </w:pPr>
      <w:r w:rsidRPr="00D67D89">
        <w:rPr>
          <w:rFonts w:asciiTheme="minorHAnsi" w:eastAsiaTheme="minorHAnsi" w:hAnsiTheme="minorHAnsi" w:cstheme="minorBidi"/>
          <w:sz w:val="22"/>
          <w:szCs w:val="22"/>
          <w:u w:val="none"/>
          <w:lang w:val="es-AR" w:eastAsia="en-US"/>
        </w:rPr>
        <w:t xml:space="preserve">Unidad I: </w:t>
      </w:r>
    </w:p>
    <w:p w:rsidR="00DD0F90" w:rsidRPr="00D67D89" w:rsidRDefault="00DD0F90" w:rsidP="009D69B7">
      <w:pPr>
        <w:jc w:val="both"/>
      </w:pPr>
      <w:r w:rsidRPr="00D67D89">
        <w:t>El sistema mundo. Análisis de los conceptos de centro y periferia, desarrollo y subdesarrollo.</w:t>
      </w:r>
    </w:p>
    <w:p w:rsidR="00DD0F90" w:rsidRPr="00D67D89" w:rsidRDefault="00DD0F90" w:rsidP="009D69B7">
      <w:pPr>
        <w:jc w:val="both"/>
      </w:pPr>
      <w:r w:rsidRPr="00D67D89">
        <w:t>El proceso de globalización: evolución y tendencias.</w:t>
      </w:r>
      <w:r w:rsidR="00D67D89">
        <w:t xml:space="preserve"> </w:t>
      </w:r>
      <w:r w:rsidRPr="00D67D89">
        <w:t>Reconfiguración y refuncionalización de los espacios como consecuencia de la globalización.</w:t>
      </w:r>
      <w:r w:rsidR="00D67D89">
        <w:t xml:space="preserve"> Desarrollo y subdesarrollo: dos caras de un mismo proceso. </w:t>
      </w:r>
      <w:r w:rsidRPr="00D67D89">
        <w:t xml:space="preserve">El contexto internacional y la Argentina en los años previos a la Primera </w:t>
      </w:r>
      <w:r w:rsidR="009D69B7" w:rsidRPr="00D67D89">
        <w:t>Guerra Mundial</w:t>
      </w:r>
      <w:r w:rsidRPr="00D67D89">
        <w:t>.   La consolidación del Estado nacional en Argentina. El modelo agroexportador. El régimen político liberal-conservador.</w:t>
      </w:r>
      <w:r w:rsidR="00D67D89">
        <w:t xml:space="preserve"> </w:t>
      </w:r>
      <w:r w:rsidRPr="00D67D89">
        <w:t xml:space="preserve">Democracia, partidos políticos </w:t>
      </w:r>
      <w:r w:rsidR="009D69B7" w:rsidRPr="00D67D89">
        <w:t>y Estado</w:t>
      </w:r>
      <w:r w:rsidRPr="00D67D89">
        <w:t>. La experiencia radical.</w:t>
      </w:r>
    </w:p>
    <w:p w:rsidR="00DD0F90" w:rsidRPr="00D67D89" w:rsidRDefault="00DD0F90" w:rsidP="009D69B7">
      <w:pPr>
        <w:jc w:val="both"/>
        <w:rPr>
          <w:b/>
        </w:rPr>
      </w:pPr>
      <w:r w:rsidRPr="00D67D89">
        <w:rPr>
          <w:b/>
        </w:rPr>
        <w:t xml:space="preserve">Unidad II: </w:t>
      </w:r>
    </w:p>
    <w:p w:rsidR="00DD0F90" w:rsidRPr="00D67D89" w:rsidRDefault="00DD0F90" w:rsidP="009D69B7">
      <w:pPr>
        <w:jc w:val="both"/>
      </w:pPr>
      <w:r w:rsidRPr="00D67D89">
        <w:t>Las transformaciones económicas espaciales de las revoluciones industriales.</w:t>
      </w:r>
      <w:r w:rsidR="00D67D89">
        <w:t xml:space="preserve"> </w:t>
      </w:r>
      <w:r w:rsidRPr="00D67D89">
        <w:t xml:space="preserve">El impacto espacial del </w:t>
      </w:r>
      <w:proofErr w:type="spellStart"/>
      <w:r w:rsidRPr="00D67D89">
        <w:t>fordismo</w:t>
      </w:r>
      <w:proofErr w:type="spellEnd"/>
      <w:r w:rsidRPr="00D67D89">
        <w:t xml:space="preserve"> y del </w:t>
      </w:r>
      <w:proofErr w:type="spellStart"/>
      <w:r w:rsidRPr="00D67D89">
        <w:t>posfordismo</w:t>
      </w:r>
      <w:proofErr w:type="spellEnd"/>
      <w:r w:rsidRPr="00D67D89">
        <w:t>.</w:t>
      </w:r>
      <w:r w:rsidR="00D67D89">
        <w:t xml:space="preserve"> Inicios del capitalismo industrial. Surgimiento del Manifiesto del Partido Comunista. </w:t>
      </w:r>
      <w:r w:rsidRPr="00D67D89">
        <w:t>Interpretaciones históricas de la década del 30. El contexto internacional. Política de EEUU hacia América Latina.</w:t>
      </w:r>
      <w:r w:rsidR="00D67D89">
        <w:t xml:space="preserve"> </w:t>
      </w:r>
      <w:r w:rsidRPr="00D67D89">
        <w:t xml:space="preserve">El modelo de industrialización por sustitución de importaciones. El nuevo rol del Estado. Las migraciones internas y la nueva conformación social y política de la clase obrera. </w:t>
      </w:r>
    </w:p>
    <w:p w:rsidR="00DD0F90" w:rsidRPr="00D67D89" w:rsidRDefault="00DD0F90" w:rsidP="009D69B7">
      <w:pPr>
        <w:pStyle w:val="Ttulo1"/>
        <w:rPr>
          <w:rFonts w:asciiTheme="minorHAnsi" w:eastAsiaTheme="minorHAnsi" w:hAnsiTheme="minorHAnsi" w:cstheme="minorBidi"/>
          <w:szCs w:val="22"/>
          <w:u w:val="none"/>
          <w:lang w:val="es-AR" w:eastAsia="en-US"/>
        </w:rPr>
      </w:pPr>
      <w:r w:rsidRPr="00D67D89">
        <w:rPr>
          <w:rFonts w:asciiTheme="minorHAnsi" w:eastAsiaTheme="minorHAnsi" w:hAnsiTheme="minorHAnsi" w:cstheme="minorBidi"/>
          <w:szCs w:val="22"/>
          <w:u w:val="none"/>
          <w:lang w:val="es-AR" w:eastAsia="en-US"/>
        </w:rPr>
        <w:t xml:space="preserve">Unidad III: </w:t>
      </w:r>
    </w:p>
    <w:p w:rsidR="00D67D89" w:rsidRDefault="002D332F" w:rsidP="009D69B7">
      <w:pPr>
        <w:jc w:val="both"/>
      </w:pPr>
      <w:r>
        <w:t xml:space="preserve">Contexto Histórico. De la Modernidad a la Posmodernidad. Del feudalismo a la sociedad y el estado moderno: las transformaciones y los cambios. El Concepto de Estado Moderno: evolución histórica y características. Conformación de las clases y movimientos sociales modernos. Los cambios de paradigma de la posmodernidad y sus condicionantes históricos. El marco contemporáneo. La Globalización y sus desafíos.- Globalización y urbanización. La competitividad y la industria de la información en la era del conocimiento. El desarrollo local en la globalización. Potencialidad y amenazas de la globalización. </w:t>
      </w:r>
      <w:r w:rsidR="00D67D89">
        <w:t>Consecuencias sociales del proceso globalizador.</w:t>
      </w:r>
    </w:p>
    <w:p w:rsidR="00D67D89" w:rsidRDefault="002D332F" w:rsidP="009D69B7">
      <w:pPr>
        <w:jc w:val="both"/>
      </w:pPr>
      <w:r w:rsidRPr="00D67D89">
        <w:rPr>
          <w:b/>
        </w:rPr>
        <w:t xml:space="preserve">Unidad </w:t>
      </w:r>
      <w:r w:rsidR="00D67D89" w:rsidRPr="00D67D89">
        <w:rPr>
          <w:b/>
        </w:rPr>
        <w:t>IV</w:t>
      </w:r>
      <w:r>
        <w:t xml:space="preserve">: </w:t>
      </w:r>
    </w:p>
    <w:p w:rsidR="002D332F" w:rsidRDefault="002D332F" w:rsidP="009D69B7">
      <w:pPr>
        <w:jc w:val="both"/>
      </w:pPr>
      <w:r>
        <w:t xml:space="preserve">Problemas Sociales Contemporáneos. Las migraciones, problemática, discriminación, potencialidades y amenazas. El descreimiento de la política y la caída de los grandes relatos. Nuevos emergentes ideológicos y nuevas formas de participación. Desmovilización de los colectivos </w:t>
      </w:r>
      <w:r>
        <w:lastRenderedPageBreak/>
        <w:t xml:space="preserve">tradicionales e individualismo. Identidad en la era de la globalización. Los movimientos de reafirmación de identidades. La educación y sus desafíos contemporáneos. </w:t>
      </w:r>
    </w:p>
    <w:p w:rsidR="00D67D89" w:rsidRDefault="00D67D89" w:rsidP="009D69B7">
      <w:pPr>
        <w:jc w:val="both"/>
      </w:pPr>
    </w:p>
    <w:p w:rsidR="009D69B7" w:rsidRDefault="009D69B7" w:rsidP="009D69B7">
      <w:pPr>
        <w:jc w:val="both"/>
      </w:pPr>
    </w:p>
    <w:p w:rsidR="009D69B7" w:rsidRPr="00A40BF2" w:rsidRDefault="009D69B7" w:rsidP="009D69B7">
      <w:pPr>
        <w:jc w:val="both"/>
      </w:pPr>
      <w:r w:rsidRPr="00A40BF2">
        <w:rPr>
          <w:b/>
        </w:rPr>
        <w:t>Evaluación</w:t>
      </w:r>
    </w:p>
    <w:p w:rsidR="009D69B7" w:rsidRDefault="009D69B7" w:rsidP="009D69B7">
      <w:pPr>
        <w:numPr>
          <w:ilvl w:val="0"/>
          <w:numId w:val="10"/>
        </w:numPr>
        <w:spacing w:after="0" w:line="240" w:lineRule="auto"/>
        <w:jc w:val="both"/>
      </w:pPr>
      <w:r w:rsidRPr="001A3B2B">
        <w:t>Ev</w:t>
      </w:r>
      <w:r>
        <w:t>aluación escrita: un parcial (junio) como mínimo y tres Trabajos Prácticos</w:t>
      </w:r>
    </w:p>
    <w:p w:rsidR="009D69B7" w:rsidRDefault="009D69B7" w:rsidP="009D69B7">
      <w:pPr>
        <w:spacing w:after="0" w:line="276" w:lineRule="auto"/>
        <w:jc w:val="both"/>
      </w:pPr>
    </w:p>
    <w:p w:rsidR="009D69B7" w:rsidRDefault="009D69B7" w:rsidP="009D69B7">
      <w:pPr>
        <w:spacing w:after="0" w:line="276" w:lineRule="auto"/>
        <w:jc w:val="both"/>
      </w:pPr>
      <w:r>
        <w:t>L</w:t>
      </w:r>
      <w:r w:rsidRPr="00D43FDC">
        <w:t xml:space="preserve">a aprobación de </w:t>
      </w:r>
      <w:r>
        <w:t xml:space="preserve">los </w:t>
      </w:r>
      <w:r w:rsidRPr="00D43FDC">
        <w:t xml:space="preserve">2(dos) parciales (escritos- individual) </w:t>
      </w:r>
      <w:r>
        <w:t xml:space="preserve">y los Trabajos Prácticos con la </w:t>
      </w:r>
      <w:r w:rsidRPr="009D69B7">
        <w:rPr>
          <w:b/>
        </w:rPr>
        <w:t>calificación de 8(ocho)</w:t>
      </w:r>
      <w:r>
        <w:t xml:space="preserve"> o más, sin recuperatorios, y contando con un </w:t>
      </w:r>
      <w:r w:rsidRPr="009D69B7">
        <w:rPr>
          <w:b/>
        </w:rPr>
        <w:t>75% de asistencia</w:t>
      </w:r>
      <w:r>
        <w:t xml:space="preserve">, permitirán </w:t>
      </w:r>
      <w:r w:rsidRPr="00D43FDC">
        <w:t xml:space="preserve">la </w:t>
      </w:r>
      <w:r w:rsidRPr="009D69B7">
        <w:rPr>
          <w:b/>
        </w:rPr>
        <w:t>Promoción Directa de la cátedra</w:t>
      </w:r>
      <w:r w:rsidRPr="00D43FDC">
        <w:t xml:space="preserve">. </w:t>
      </w:r>
      <w:r>
        <w:t>Para regularizar la materia la nota mínima será un 6(seis) y</w:t>
      </w:r>
      <w:r w:rsidRPr="00D43FDC">
        <w:t xml:space="preserve"> la posibilidad en cada uno</w:t>
      </w:r>
      <w:r>
        <w:t xml:space="preserve"> de ellos de dos recuperatorios, como de los Trabajos Prácticos (75% de asistencia). Se efectuará</w:t>
      </w:r>
      <w:r w:rsidRPr="00D43FDC">
        <w:t xml:space="preserve"> un </w:t>
      </w:r>
      <w:r>
        <w:t>coloquio oral si el alumno logró promocionar</w:t>
      </w:r>
      <w:r w:rsidRPr="00D43FDC">
        <w:t xml:space="preserve"> (en la fec</w:t>
      </w:r>
      <w:r>
        <w:t>ha estipulada por el profesor, últimas dos semanas previas al receso de invierno).</w:t>
      </w:r>
    </w:p>
    <w:p w:rsidR="009D69B7" w:rsidRDefault="009D69B7" w:rsidP="009D69B7">
      <w:pPr>
        <w:spacing w:after="0" w:line="276" w:lineRule="auto"/>
        <w:jc w:val="both"/>
      </w:pPr>
      <w:r w:rsidRPr="00D43FDC">
        <w:t>De lo contrario efectuara un Examen fina</w:t>
      </w:r>
      <w:r>
        <w:t>l ante el Tribunal pertinente (</w:t>
      </w:r>
      <w:r w:rsidRPr="00D43FDC">
        <w:t xml:space="preserve">de </w:t>
      </w:r>
      <w:r>
        <w:t>todo el programa establecido, a entregar al alumno una vez finalizada la cursada</w:t>
      </w:r>
      <w:r w:rsidRPr="00D43FDC">
        <w:t>)</w:t>
      </w:r>
      <w:r>
        <w:t>.</w:t>
      </w:r>
    </w:p>
    <w:p w:rsidR="009D69B7" w:rsidRDefault="009D69B7" w:rsidP="009D69B7">
      <w:pPr>
        <w:jc w:val="both"/>
      </w:pPr>
    </w:p>
    <w:p w:rsidR="009D69B7" w:rsidRPr="00A40BF2" w:rsidRDefault="009D69B7" w:rsidP="009D69B7">
      <w:pPr>
        <w:jc w:val="both"/>
        <w:rPr>
          <w:b/>
        </w:rPr>
      </w:pPr>
      <w:r w:rsidRPr="00A40BF2">
        <w:rPr>
          <w:b/>
        </w:rPr>
        <w:t>Criterios de evaluación</w:t>
      </w:r>
    </w:p>
    <w:p w:rsidR="009D69B7" w:rsidRDefault="009D69B7" w:rsidP="009D69B7">
      <w:pPr>
        <w:numPr>
          <w:ilvl w:val="0"/>
          <w:numId w:val="10"/>
        </w:numPr>
        <w:spacing w:after="0" w:line="240" w:lineRule="auto"/>
        <w:jc w:val="both"/>
      </w:pPr>
      <w:r>
        <w:t>Participación activa en el desarrollo de las clases, demostrando lectura y seguimiento de las clases.</w:t>
      </w:r>
    </w:p>
    <w:p w:rsidR="009D69B7" w:rsidRDefault="009D69B7" w:rsidP="009D69B7">
      <w:pPr>
        <w:numPr>
          <w:ilvl w:val="0"/>
          <w:numId w:val="10"/>
        </w:numPr>
        <w:spacing w:after="0" w:line="240" w:lineRule="auto"/>
        <w:jc w:val="both"/>
      </w:pPr>
      <w:r>
        <w:t>Domino y aplicación de contenidos de la cátedra.</w:t>
      </w:r>
    </w:p>
    <w:p w:rsidR="009D69B7" w:rsidRDefault="009D69B7" w:rsidP="009D69B7">
      <w:pPr>
        <w:numPr>
          <w:ilvl w:val="0"/>
          <w:numId w:val="10"/>
        </w:numPr>
        <w:spacing w:after="0" w:line="240" w:lineRule="auto"/>
        <w:jc w:val="both"/>
      </w:pPr>
      <w:r>
        <w:t xml:space="preserve">Cumplimiento con las actividades pautadas (evaluaciones parciales, </w:t>
      </w:r>
      <w:proofErr w:type="spellStart"/>
      <w:r>
        <w:t>TPs</w:t>
      </w:r>
      <w:proofErr w:type="spellEnd"/>
      <w:r>
        <w:t>, etc…)</w:t>
      </w:r>
    </w:p>
    <w:p w:rsidR="009D69B7" w:rsidRDefault="009D69B7" w:rsidP="009D69B7">
      <w:pPr>
        <w:jc w:val="both"/>
      </w:pPr>
    </w:p>
    <w:p w:rsidR="009D69B7" w:rsidRPr="005D32EF" w:rsidRDefault="009D69B7" w:rsidP="009D69B7">
      <w:pPr>
        <w:jc w:val="both"/>
        <w:rPr>
          <w:b/>
        </w:rPr>
      </w:pPr>
    </w:p>
    <w:p w:rsidR="00D365A5" w:rsidRPr="005D32EF" w:rsidRDefault="00D67D89" w:rsidP="009D69B7">
      <w:pPr>
        <w:jc w:val="both"/>
        <w:rPr>
          <w:b/>
        </w:rPr>
      </w:pPr>
      <w:r w:rsidRPr="005D32EF">
        <w:rPr>
          <w:b/>
        </w:rPr>
        <w:t>Bibliogr</w:t>
      </w:r>
      <w:bookmarkStart w:id="0" w:name="_GoBack"/>
      <w:bookmarkEnd w:id="0"/>
      <w:r w:rsidRPr="005D32EF">
        <w:rPr>
          <w:b/>
        </w:rPr>
        <w:t>afía</w:t>
      </w:r>
    </w:p>
    <w:p w:rsidR="009D69B7" w:rsidRPr="009D69B7" w:rsidRDefault="009D69B7" w:rsidP="005D32E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9D69B7">
        <w:rPr>
          <w:rFonts w:asciiTheme="minorHAnsi" w:eastAsiaTheme="minorHAnsi" w:hAnsiTheme="minorHAnsi" w:cstheme="minorBidi"/>
          <w:sz w:val="22"/>
          <w:szCs w:val="22"/>
          <w:lang w:eastAsia="en-US"/>
        </w:rPr>
        <w:t>Barañano</w:t>
      </w:r>
      <w:proofErr w:type="spellEnd"/>
      <w:r w:rsidRPr="009D69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A., J.L. García, M. Cátedra y M.J. </w:t>
      </w:r>
      <w:proofErr w:type="spellStart"/>
      <w:r w:rsidRPr="009D69B7">
        <w:rPr>
          <w:rFonts w:asciiTheme="minorHAnsi" w:eastAsiaTheme="minorHAnsi" w:hAnsiTheme="minorHAnsi" w:cstheme="minorBidi"/>
          <w:sz w:val="22"/>
          <w:szCs w:val="22"/>
          <w:lang w:eastAsia="en-US"/>
        </w:rPr>
        <w:t>Devillard</w:t>
      </w:r>
      <w:proofErr w:type="spellEnd"/>
      <w:r w:rsidRPr="009D69B7">
        <w:rPr>
          <w:rFonts w:asciiTheme="minorHAnsi" w:eastAsiaTheme="minorHAnsi" w:hAnsiTheme="minorHAnsi" w:cstheme="minorBidi"/>
          <w:sz w:val="22"/>
          <w:szCs w:val="22"/>
          <w:lang w:eastAsia="en-US"/>
        </w:rPr>
        <w:t>, 2007: Diccionario de relaciones interculturales. Diversidad y globalización. Madrid, Editorial Complutense.</w:t>
      </w:r>
    </w:p>
    <w:p w:rsidR="009D69B7" w:rsidRDefault="009D69B7" w:rsidP="005D32EF">
      <w:pPr>
        <w:pStyle w:val="Prrafodelista"/>
        <w:numPr>
          <w:ilvl w:val="0"/>
          <w:numId w:val="11"/>
        </w:numPr>
        <w:jc w:val="both"/>
      </w:pPr>
      <w:r>
        <w:t>Basamentos del Capitalismo. Puntos de acuerdo y desacuerdo sobre sus orígenes. (Apuntes de cátedra).</w:t>
      </w:r>
    </w:p>
    <w:p w:rsidR="009D69B7" w:rsidRPr="009D69B7" w:rsidRDefault="009D69B7" w:rsidP="005D32E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9D69B7">
        <w:rPr>
          <w:rFonts w:asciiTheme="minorHAnsi" w:eastAsiaTheme="minorHAnsi" w:hAnsiTheme="minorHAnsi" w:cstheme="minorBidi"/>
          <w:sz w:val="22"/>
          <w:szCs w:val="22"/>
          <w:lang w:eastAsia="en-US"/>
        </w:rPr>
        <w:t>Bauman</w:t>
      </w:r>
      <w:proofErr w:type="spellEnd"/>
      <w:r w:rsidRPr="009D69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Z., 2007: Tiempos líquidos. Vivir en una época de incertidumbre. Barcelona, </w:t>
      </w:r>
      <w:proofErr w:type="spellStart"/>
      <w:r w:rsidRPr="009D69B7">
        <w:rPr>
          <w:rFonts w:asciiTheme="minorHAnsi" w:eastAsiaTheme="minorHAnsi" w:hAnsiTheme="minorHAnsi" w:cstheme="minorBidi"/>
          <w:sz w:val="22"/>
          <w:szCs w:val="22"/>
          <w:lang w:eastAsia="en-US"/>
        </w:rPr>
        <w:t>Tusquets</w:t>
      </w:r>
      <w:proofErr w:type="spellEnd"/>
      <w:r w:rsidRPr="009D69B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9D69B7" w:rsidRDefault="009D69B7" w:rsidP="005D32EF">
      <w:pPr>
        <w:pStyle w:val="Prrafodelista"/>
        <w:numPr>
          <w:ilvl w:val="0"/>
          <w:numId w:val="11"/>
        </w:numPr>
        <w:jc w:val="both"/>
      </w:pPr>
      <w:proofErr w:type="spellStart"/>
      <w:r>
        <w:t>Bauman</w:t>
      </w:r>
      <w:proofErr w:type="spellEnd"/>
      <w:r>
        <w:t xml:space="preserve">, </w:t>
      </w:r>
      <w:proofErr w:type="spellStart"/>
      <w:r>
        <w:t>Zygmunt</w:t>
      </w:r>
      <w:proofErr w:type="spellEnd"/>
      <w:r>
        <w:t xml:space="preserve"> – La globalización. Consecuencias humanas – Ed. FCE – Buenos Aires, 1999.</w:t>
      </w:r>
    </w:p>
    <w:p w:rsidR="009D69B7" w:rsidRDefault="009D69B7" w:rsidP="005D32EF">
      <w:pPr>
        <w:pStyle w:val="Prrafodelista"/>
        <w:numPr>
          <w:ilvl w:val="0"/>
          <w:numId w:val="11"/>
        </w:numPr>
        <w:jc w:val="both"/>
      </w:pPr>
      <w:proofErr w:type="spellStart"/>
      <w:r>
        <w:t>Bauman</w:t>
      </w:r>
      <w:proofErr w:type="spellEnd"/>
      <w:r>
        <w:t xml:space="preserve">, </w:t>
      </w:r>
      <w:proofErr w:type="spellStart"/>
      <w:r>
        <w:t>Zygmunt</w:t>
      </w:r>
      <w:proofErr w:type="spellEnd"/>
      <w:r>
        <w:t xml:space="preserve"> – Modernidad líquida – Ed. FCE – Buenos Aires, 1999.</w:t>
      </w:r>
    </w:p>
    <w:p w:rsidR="009D69B7" w:rsidRPr="009D69B7" w:rsidRDefault="009D69B7" w:rsidP="005D32E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9D69B7">
        <w:rPr>
          <w:rFonts w:asciiTheme="minorHAnsi" w:eastAsiaTheme="minorHAnsi" w:hAnsiTheme="minorHAnsi" w:cstheme="minorBidi"/>
          <w:sz w:val="22"/>
          <w:szCs w:val="22"/>
          <w:lang w:eastAsia="en-US"/>
        </w:rPr>
        <w:t>Benoist</w:t>
      </w:r>
      <w:proofErr w:type="spellEnd"/>
      <w:r w:rsidRPr="009D69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J., E. </w:t>
      </w:r>
      <w:proofErr w:type="spellStart"/>
      <w:r w:rsidRPr="009D69B7">
        <w:rPr>
          <w:rFonts w:asciiTheme="minorHAnsi" w:eastAsiaTheme="minorHAnsi" w:hAnsiTheme="minorHAnsi" w:cstheme="minorBidi"/>
          <w:sz w:val="22"/>
          <w:szCs w:val="22"/>
          <w:lang w:eastAsia="en-US"/>
        </w:rPr>
        <w:t>Piquard</w:t>
      </w:r>
      <w:proofErr w:type="spellEnd"/>
      <w:r w:rsidRPr="009D69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y B. </w:t>
      </w:r>
      <w:proofErr w:type="spellStart"/>
      <w:r w:rsidRPr="009D69B7">
        <w:rPr>
          <w:rFonts w:asciiTheme="minorHAnsi" w:eastAsiaTheme="minorHAnsi" w:hAnsiTheme="minorHAnsi" w:cstheme="minorBidi"/>
          <w:sz w:val="22"/>
          <w:szCs w:val="22"/>
          <w:lang w:eastAsia="en-US"/>
        </w:rPr>
        <w:t>Voutira</w:t>
      </w:r>
      <w:proofErr w:type="spellEnd"/>
      <w:r w:rsidRPr="009D69B7">
        <w:rPr>
          <w:rFonts w:asciiTheme="minorHAnsi" w:eastAsiaTheme="minorHAnsi" w:hAnsiTheme="minorHAnsi" w:cstheme="minorBidi"/>
          <w:sz w:val="22"/>
          <w:szCs w:val="22"/>
          <w:lang w:eastAsia="en-US"/>
        </w:rPr>
        <w:t>, 2000: La antropología en la ayuda humanitaria. Bilbao, Universidad de Deusto.</w:t>
      </w:r>
    </w:p>
    <w:p w:rsidR="009D69B7" w:rsidRDefault="009D69B7" w:rsidP="005D32EF">
      <w:pPr>
        <w:pStyle w:val="Prrafodelista"/>
        <w:numPr>
          <w:ilvl w:val="0"/>
          <w:numId w:val="11"/>
        </w:numPr>
        <w:jc w:val="both"/>
      </w:pPr>
      <w:r>
        <w:lastRenderedPageBreak/>
        <w:t xml:space="preserve">Bourdieu, Pierre, (1984). Sociología y Cultura, Grijalbo y Consejo Nacional para la Cultura y las Artes. México. </w:t>
      </w:r>
    </w:p>
    <w:p w:rsidR="009D69B7" w:rsidRDefault="009D69B7" w:rsidP="005D32EF">
      <w:pPr>
        <w:pStyle w:val="Prrafodelista"/>
        <w:numPr>
          <w:ilvl w:val="0"/>
          <w:numId w:val="11"/>
        </w:numPr>
        <w:jc w:val="both"/>
      </w:pPr>
      <w:proofErr w:type="spellStart"/>
      <w:r>
        <w:t>Castells</w:t>
      </w:r>
      <w:proofErr w:type="spellEnd"/>
      <w:r>
        <w:t>, Manuel, (1997). La era de la información. Economía, sociedad y cultura, Tres volúmenes, Alianza Editorial, Madrid</w:t>
      </w:r>
    </w:p>
    <w:p w:rsidR="009D69B7" w:rsidRPr="009D69B7" w:rsidRDefault="009D69B7" w:rsidP="005D32E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69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García </w:t>
      </w:r>
      <w:proofErr w:type="spellStart"/>
      <w:r w:rsidRPr="009D69B7">
        <w:rPr>
          <w:rFonts w:asciiTheme="minorHAnsi" w:eastAsiaTheme="minorHAnsi" w:hAnsiTheme="minorHAnsi" w:cstheme="minorBidi"/>
          <w:sz w:val="22"/>
          <w:szCs w:val="22"/>
          <w:lang w:eastAsia="en-US"/>
        </w:rPr>
        <w:t>Canclini</w:t>
      </w:r>
      <w:proofErr w:type="spellEnd"/>
      <w:r w:rsidRPr="009D69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N., 1995: Culturas híbridas. Estrategias para entrar y salir de la modernidad. Buenos Aires, </w:t>
      </w:r>
      <w:proofErr w:type="gramStart"/>
      <w:r w:rsidRPr="009D69B7">
        <w:rPr>
          <w:rFonts w:asciiTheme="minorHAnsi" w:eastAsiaTheme="minorHAnsi" w:hAnsiTheme="minorHAnsi" w:cstheme="minorBidi"/>
          <w:sz w:val="22"/>
          <w:szCs w:val="22"/>
          <w:lang w:eastAsia="en-US"/>
        </w:rPr>
        <w:t>Sudamericana</w:t>
      </w:r>
      <w:proofErr w:type="gramEnd"/>
      <w:r w:rsidRPr="009D69B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9D69B7" w:rsidRPr="009D69B7" w:rsidRDefault="009D69B7" w:rsidP="005D32E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69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García </w:t>
      </w:r>
      <w:proofErr w:type="spellStart"/>
      <w:r w:rsidRPr="009D69B7">
        <w:rPr>
          <w:rFonts w:asciiTheme="minorHAnsi" w:eastAsiaTheme="minorHAnsi" w:hAnsiTheme="minorHAnsi" w:cstheme="minorBidi"/>
          <w:sz w:val="22"/>
          <w:szCs w:val="22"/>
          <w:lang w:eastAsia="en-US"/>
        </w:rPr>
        <w:t>Canclini</w:t>
      </w:r>
      <w:proofErr w:type="spellEnd"/>
      <w:r w:rsidRPr="009D69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N., 20004: Diferentes, desiguales y desconectados: mapas de la interculturalidad. Barcelona, </w:t>
      </w:r>
      <w:proofErr w:type="spellStart"/>
      <w:r w:rsidRPr="009D69B7">
        <w:rPr>
          <w:rFonts w:asciiTheme="minorHAnsi" w:eastAsiaTheme="minorHAnsi" w:hAnsiTheme="minorHAnsi" w:cstheme="minorBidi"/>
          <w:sz w:val="22"/>
          <w:szCs w:val="22"/>
          <w:lang w:eastAsia="en-US"/>
        </w:rPr>
        <w:t>Gedisa</w:t>
      </w:r>
      <w:proofErr w:type="spellEnd"/>
      <w:r w:rsidRPr="009D69B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9D69B7" w:rsidRDefault="009D69B7" w:rsidP="005D32EF">
      <w:pPr>
        <w:pStyle w:val="Prrafodelista"/>
        <w:numPr>
          <w:ilvl w:val="0"/>
          <w:numId w:val="11"/>
        </w:numPr>
        <w:jc w:val="both"/>
      </w:pPr>
      <w:r>
        <w:t xml:space="preserve">Harvey, David – La condición de la posmodernidad. Investigación sobre los orígenes del cambio cultural – </w:t>
      </w:r>
      <w:proofErr w:type="spellStart"/>
      <w:r>
        <w:t>Amorrortu</w:t>
      </w:r>
      <w:proofErr w:type="spellEnd"/>
      <w:r>
        <w:t xml:space="preserve"> Eds. – Buenos Aires, 1998.</w:t>
      </w:r>
    </w:p>
    <w:p w:rsidR="009D69B7" w:rsidRDefault="009D69B7" w:rsidP="005D32EF">
      <w:pPr>
        <w:pStyle w:val="Prrafodelista"/>
        <w:numPr>
          <w:ilvl w:val="0"/>
          <w:numId w:val="11"/>
        </w:numPr>
        <w:jc w:val="both"/>
      </w:pPr>
      <w:r>
        <w:t>Hegel, F. Marx, C. Manifiesto del Partido Comunista. Fondo de Cultura Económica.</w:t>
      </w:r>
    </w:p>
    <w:p w:rsidR="009D69B7" w:rsidRPr="00165422" w:rsidRDefault="009D69B7" w:rsidP="005D32EF">
      <w:pPr>
        <w:pStyle w:val="Prrafodelista"/>
        <w:numPr>
          <w:ilvl w:val="0"/>
          <w:numId w:val="11"/>
        </w:numPr>
        <w:jc w:val="both"/>
      </w:pPr>
      <w:r w:rsidRPr="00165422">
        <w:t xml:space="preserve">Osorio. 2015. La economía de los recursos naturales: un asunto de límites y necesidades para la humanidad. Publicaciones en Acta del Congreso “Perspectivas sociales sobre los Recursos Ambientales. </w:t>
      </w:r>
    </w:p>
    <w:p w:rsidR="009D69B7" w:rsidRDefault="009D69B7" w:rsidP="005D32EF">
      <w:pPr>
        <w:pStyle w:val="Prrafodelista"/>
        <w:numPr>
          <w:ilvl w:val="0"/>
          <w:numId w:val="11"/>
        </w:numPr>
        <w:jc w:val="both"/>
      </w:pPr>
      <w:proofErr w:type="spellStart"/>
      <w:r>
        <w:t>Ramirez</w:t>
      </w:r>
      <w:proofErr w:type="spellEnd"/>
      <w:r>
        <w:t xml:space="preserve">, C. Teorías del Desarrollo y Subdesarrollo. Universidad Nacional del Nordeste. </w:t>
      </w:r>
    </w:p>
    <w:p w:rsidR="009D69B7" w:rsidRDefault="009D69B7" w:rsidP="005D32EF">
      <w:pPr>
        <w:pStyle w:val="Prrafodelista"/>
        <w:numPr>
          <w:ilvl w:val="0"/>
          <w:numId w:val="11"/>
        </w:numPr>
        <w:jc w:val="both"/>
      </w:pPr>
      <w:r>
        <w:t xml:space="preserve">Weber, Max – Economía y Sociedad – Ed. FCE – México D.F., 1997. </w:t>
      </w:r>
    </w:p>
    <w:sectPr w:rsidR="009D69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74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4D22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35163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2C65E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D55800"/>
    <w:multiLevelType w:val="hybridMultilevel"/>
    <w:tmpl w:val="7430EB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120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1722E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09F044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4BD72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E967A9"/>
    <w:multiLevelType w:val="hybridMultilevel"/>
    <w:tmpl w:val="AA9A4CEC"/>
    <w:lvl w:ilvl="0" w:tplc="08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645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2F"/>
    <w:rsid w:val="00165422"/>
    <w:rsid w:val="002D332F"/>
    <w:rsid w:val="005D32EF"/>
    <w:rsid w:val="005F5961"/>
    <w:rsid w:val="008F6A80"/>
    <w:rsid w:val="00997036"/>
    <w:rsid w:val="009D69B7"/>
    <w:rsid w:val="00D365A5"/>
    <w:rsid w:val="00D67D89"/>
    <w:rsid w:val="00DD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549CC6-CE2C-4A77-BA2A-63B5C853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D0F90"/>
    <w:pPr>
      <w:keepNext/>
      <w:spacing w:after="0" w:line="25" w:lineRule="atLeast"/>
      <w:jc w:val="both"/>
      <w:outlineLvl w:val="0"/>
    </w:pPr>
    <w:rPr>
      <w:rFonts w:ascii="Arial" w:eastAsia="Times New Roman" w:hAnsi="Arial" w:cs="Times New Roman"/>
      <w:b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DD0F90"/>
    <w:pPr>
      <w:keepNext/>
      <w:spacing w:after="0" w:line="312" w:lineRule="atLeas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0F90"/>
    <w:rPr>
      <w:rFonts w:ascii="Arial" w:eastAsia="Times New Roman" w:hAnsi="Arial" w:cs="Times New Roman"/>
      <w:b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D0F90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DD0F90"/>
    <w:pPr>
      <w:spacing w:after="0" w:line="240" w:lineRule="auto"/>
      <w:ind w:left="360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D0F90"/>
    <w:rPr>
      <w:rFonts w:ascii="Arial" w:eastAsia="Times New Roman" w:hAnsi="Arial" w:cs="Times New Roman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D0F90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D0F90"/>
    <w:rPr>
      <w:rFonts w:ascii="Arial" w:eastAsia="Times New Roman" w:hAnsi="Arial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DD0F90"/>
    <w:pPr>
      <w:spacing w:after="0" w:line="312" w:lineRule="atLeast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D0F9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fasis">
    <w:name w:val="Emphasis"/>
    <w:basedOn w:val="Fuentedeprrafopredeter"/>
    <w:qFormat/>
    <w:rsid w:val="00DD0F90"/>
    <w:rPr>
      <w:i/>
      <w:iCs/>
    </w:rPr>
  </w:style>
  <w:style w:type="paragraph" w:styleId="NormalWeb">
    <w:name w:val="Normal (Web)"/>
    <w:basedOn w:val="Normal"/>
    <w:unhideWhenUsed/>
    <w:rsid w:val="009D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9D69B7"/>
  </w:style>
  <w:style w:type="character" w:customStyle="1" w:styleId="estilo71">
    <w:name w:val="estilo71"/>
    <w:rsid w:val="009D69B7"/>
    <w:rPr>
      <w:b/>
      <w:bCs/>
      <w:color w:val="A30321"/>
      <w:sz w:val="25"/>
      <w:szCs w:val="25"/>
    </w:rPr>
  </w:style>
  <w:style w:type="paragraph" w:styleId="Prrafodelista">
    <w:name w:val="List Paragraph"/>
    <w:basedOn w:val="Normal"/>
    <w:uiPriority w:val="34"/>
    <w:qFormat/>
    <w:rsid w:val="005D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1592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7</cp:revision>
  <dcterms:created xsi:type="dcterms:W3CDTF">2017-04-30T03:20:00Z</dcterms:created>
  <dcterms:modified xsi:type="dcterms:W3CDTF">2017-05-17T03:08:00Z</dcterms:modified>
</cp:coreProperties>
</file>