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40" w:lineRule="auto"/>
        <w:jc w:val="center"/>
        <w:rPr>
          <w:rFonts w:ascii="Calibri" w:cs="Calibri" w:eastAsia="Calibri" w:hAnsi="Calibri"/>
          <w:b w:val="1"/>
          <w:sz w:val="25.920000076293945"/>
          <w:szCs w:val="25.920000076293945"/>
        </w:rPr>
      </w:pPr>
      <w:r w:rsidDel="00000000" w:rsidR="00000000" w:rsidRPr="00000000">
        <w:rPr>
          <w:rFonts w:ascii="Calibri" w:cs="Calibri" w:eastAsia="Calibri" w:hAnsi="Calibri"/>
          <w:b w:val="1"/>
          <w:sz w:val="25.920000076293945"/>
          <w:szCs w:val="25.920000076293945"/>
          <w:rtl w:val="0"/>
        </w:rPr>
        <w:t xml:space="preserve">IES NRO.7 “Brigadier Estanislao López”</w:t>
      </w:r>
    </w:p>
    <w:p w:rsidR="00000000" w:rsidDel="00000000" w:rsidP="00000000" w:rsidRDefault="00000000" w:rsidRPr="00000000" w14:paraId="00000002">
      <w:pPr>
        <w:widowControl w:val="0"/>
        <w:spacing w:after="240" w:before="240" w:line="240" w:lineRule="auto"/>
        <w:jc w:val="center"/>
        <w:rPr>
          <w:rFonts w:ascii="Calibri" w:cs="Calibri" w:eastAsia="Calibri" w:hAnsi="Calibri"/>
          <w:b w:val="1"/>
          <w:sz w:val="25.920000076293945"/>
          <w:szCs w:val="25.920000076293945"/>
        </w:rPr>
      </w:pPr>
      <w:r w:rsidDel="00000000" w:rsidR="00000000" w:rsidRPr="00000000">
        <w:rPr>
          <w:rFonts w:ascii="Calibri" w:cs="Calibri" w:eastAsia="Calibri" w:hAnsi="Calibri"/>
          <w:b w:val="1"/>
          <w:sz w:val="25.920000076293945"/>
          <w:szCs w:val="25.920000076293945"/>
          <w:rtl w:val="0"/>
        </w:rPr>
        <w:t xml:space="preserve">Carrera: Profesorado de educación Superior en Ciencias de la educación.</w:t>
      </w:r>
    </w:p>
    <w:p w:rsidR="00000000" w:rsidDel="00000000" w:rsidP="00000000" w:rsidRDefault="00000000" w:rsidRPr="00000000" w14:paraId="00000003">
      <w:pPr>
        <w:widowControl w:val="0"/>
        <w:spacing w:after="240" w:before="240" w:line="240" w:lineRule="auto"/>
        <w:jc w:val="center"/>
        <w:rPr>
          <w:rFonts w:ascii="Calibri" w:cs="Calibri" w:eastAsia="Calibri" w:hAnsi="Calibri"/>
          <w:b w:val="1"/>
          <w:sz w:val="25.920000076293945"/>
          <w:szCs w:val="25.920000076293945"/>
        </w:rPr>
      </w:pPr>
      <w:r w:rsidDel="00000000" w:rsidR="00000000" w:rsidRPr="00000000">
        <w:rPr>
          <w:rFonts w:ascii="Calibri" w:cs="Calibri" w:eastAsia="Calibri" w:hAnsi="Calibri"/>
          <w:b w:val="1"/>
          <w:sz w:val="25.920000076293945"/>
          <w:szCs w:val="25.920000076293945"/>
          <w:rtl w:val="0"/>
        </w:rPr>
        <w:t xml:space="preserve">Unidad Curricular: Pedagogía</w:t>
      </w:r>
    </w:p>
    <w:p w:rsidR="00000000" w:rsidDel="00000000" w:rsidP="00000000" w:rsidRDefault="00000000" w:rsidRPr="00000000" w14:paraId="00000004">
      <w:pPr>
        <w:widowControl w:val="0"/>
        <w:spacing w:after="240" w:before="240" w:line="240" w:lineRule="auto"/>
        <w:jc w:val="center"/>
        <w:rPr>
          <w:rFonts w:ascii="Calibri" w:cs="Calibri" w:eastAsia="Calibri" w:hAnsi="Calibri"/>
          <w:b w:val="1"/>
          <w:sz w:val="25.920000076293945"/>
          <w:szCs w:val="25.920000076293945"/>
        </w:rPr>
      </w:pPr>
      <w:r w:rsidDel="00000000" w:rsidR="00000000" w:rsidRPr="00000000">
        <w:rPr>
          <w:rFonts w:ascii="Calibri" w:cs="Calibri" w:eastAsia="Calibri" w:hAnsi="Calibri"/>
          <w:b w:val="1"/>
          <w:sz w:val="25.920000076293945"/>
          <w:szCs w:val="25.920000076293945"/>
          <w:rtl w:val="0"/>
        </w:rPr>
        <w:t xml:space="preserve">Curso: tercer año</w:t>
      </w:r>
    </w:p>
    <w:p w:rsidR="00000000" w:rsidDel="00000000" w:rsidP="00000000" w:rsidRDefault="00000000" w:rsidRPr="00000000" w14:paraId="00000005">
      <w:pPr>
        <w:widowControl w:val="0"/>
        <w:spacing w:after="240" w:before="240" w:line="240" w:lineRule="auto"/>
        <w:jc w:val="center"/>
        <w:rPr>
          <w:rFonts w:ascii="Calibri" w:cs="Calibri" w:eastAsia="Calibri" w:hAnsi="Calibri"/>
          <w:b w:val="1"/>
          <w:sz w:val="25.920000076293945"/>
          <w:szCs w:val="25.920000076293945"/>
        </w:rPr>
      </w:pPr>
      <w:r w:rsidDel="00000000" w:rsidR="00000000" w:rsidRPr="00000000">
        <w:rPr>
          <w:rFonts w:ascii="Calibri" w:cs="Calibri" w:eastAsia="Calibri" w:hAnsi="Calibri"/>
          <w:b w:val="1"/>
          <w:sz w:val="25.920000076293945"/>
          <w:szCs w:val="25.920000076293945"/>
          <w:rtl w:val="0"/>
        </w:rPr>
        <w:t xml:space="preserve">Docente: Silvana Delgado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sz w:val="31.920000076293945"/>
          <w:szCs w:val="31.920000076293945"/>
          <w:rtl w:val="0"/>
        </w:rPr>
        <w:t xml:space="preserve">Programa </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de examen de EDI: Orientación y Tutorías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93.09326171875" w:line="240" w:lineRule="auto"/>
        <w:ind w:left="4.8574829101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Contenidos y Bibliografía por unidad: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91.1279296875" w:line="262.9380512237549" w:lineRule="auto"/>
        <w:ind w:left="6.623992919921875" w:right="48.13720703125" w:firstLine="4.63668823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Unidad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Las Ciencias de la Educación su origen y cambios. Las ciencias como profesión. Las demandas sociales a la profesión. Miradas sobre el campo laboral.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0.0244140625" w:line="240" w:lineRule="auto"/>
        <w:ind w:left="11.481475830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60.76504707336426" w:lineRule="auto"/>
        <w:ind w:left="12.806396484375" w:right="0.41259765625" w:hanging="9.05288696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Furlán, A. “La formación del Pedagogo. Las razones de la institución”. Disponible en: pronunciada  por Jeremy Rifkin en el Edificio Mercosur, el 2 de octubre de 1998.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4.423828125" w:line="262.1234607696533" w:lineRule="auto"/>
        <w:ind w:left="0.220794677734375" w:right="0.704345703125" w:firstLine="3.53271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-Tenti Fanfani, E. (2000). “El Campo de las Ciencias de la Educación: Elementos “El Campo de las  Ciencias de la Educación: Elementos de teoría s de teoría e hipótesis para el análisis. Ficha de cátedra  facultad de filosofía y Letras. U.B.A.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3.1732177734375" w:line="240" w:lineRule="auto"/>
        <w:ind w:left="3.75350952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-Vicente, M.E. Ciencias de la Educación: Nuevas definiciones profesionales desde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1.12548828125" w:line="262.3949146270752" w:lineRule="auto"/>
        <w:ind w:left="3.97430419921875" w:right="0.950927734375" w:firstLine="8.8320922851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 historia reciente. Núcleo Básico de la revista Científicas argentinas (Caicyt- Conicet) Nº 27.  Santiago del Estero, Argentina, 2016. Disponible en: http://www.scielo.org.ar/pdf/tys/n27/n27a10.pdf Vicente, M.E. La institucionalización de las  Ciencias de la Educación en Argentina: Un análisis desde la relación entre educación y trabajo.  Cuadernos de Historia de la Educaciónv 14, nº 2, (UNLP) Disponible 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122802734375" w:line="240" w:lineRule="auto"/>
        <w:ind w:left="12.806396484375" w:right="0" w:firstLine="0"/>
        <w:jc w:val="left"/>
        <w:rPr>
          <w:rFonts w:ascii="Calibri" w:cs="Calibri" w:eastAsia="Calibri" w:hAnsi="Calibri"/>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http://ri.conicet.gov.ar/bitstream/handle/11336/9436/CONICET_D</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725830078125" w:line="240" w:lineRule="auto"/>
        <w:ind w:left="10.598297119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igital_Nro.10565.pdf?sequence=1&amp;isAllowed=y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1.5264892578125" w:line="262.93785095214844" w:lineRule="auto"/>
        <w:ind w:left="10.598297119140625" w:right="0.52734375" w:hanging="6.844787597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-Villa, A. “Pasado y presente de las Ciencias de la Educación. Campo de producción académica y  práctica profesional”. Dossier de la revista Archivos de ciencias de la educación. Año 5 Nro. 5.  (Cuarta Etapa) UNLP, 2011. Introducción al Dossier)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0.023193359375" w:line="262.46289253234863" w:lineRule="auto"/>
        <w:ind w:left="0" w:right="0.36376953125" w:firstLine="11.260681152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Unidad 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Las prácticas educativas. Perspectivas epistemológicas. Las prácticas de orientación educativa. Delimitación conceptual sobre Orientación: Definición y conceptualización de la  Orientación. La Orientación como proceso de intervención educativa. Principios de la orientación:  Principio de Prevención, principio de Desarrollo y principio de Intervención Social. Funciones de la  Orientación. Características de la Orientación. Objetivos de la Orientación. Áreas de intervención en  Orientación. Contextos de intervención en Orientación. La Orientación en el sistema Educativo  Argentino. Distintos enfoques en la función Orientadora: la Orientación como Servicio, la  Orientación como programa. Los programas de orientación. La evaluación de programas en  orientación educativa.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2.86102294921875" w:line="240" w:lineRule="auto"/>
        <w:ind w:left="11.481475830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1.12640380859375" w:line="262.93850898742676" w:lineRule="auto"/>
        <w:ind w:left="6.623992919921875" w:right="0" w:hanging="2.870483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-Ander- Egg, E y Aguilar Idañez, M.J. ( 2005 ). “Cómo elaborar un proyecto de Orientación. Guía para  diseñar proyectos sociales y culturales. Ed. Lumen/Humanitas, Buenos Aires.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70.02304077148438" w:line="408.4596633911133" w:lineRule="auto"/>
        <w:ind w:left="3.753509521484375" w:right="139.2297363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-Brandis, S (1999) Los Paradigmas en la práctica docente. Universidad Nacional de Cuyo: Mendoza -Carr, W. (2002). Una teoría para la educación. Hacia una investigación educativa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16088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crítica. Ediciones Morata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62.9391384124756" w:lineRule="auto"/>
        <w:ind w:left="14.793548583984375" w:right="1.55029296875" w:hanging="11.040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-Molina Contreras, D. “Concepto de Orientación Educativa: Diversidad y Aproximación”. Universidad  Nacional Experimental de los Llanos Occidentales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0.02197265625" w:line="407.44646072387695" w:lineRule="auto"/>
        <w:ind w:left="14.793548583984375" w:right="59.788818359375" w:hanging="11.040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-Ezequiel Zamora, Venezuela Pérez, E. Ensayos y experiencias, Año 3 Nº 16, 1997. Facultad de Filosofía y Letras Cátedra: Prácticas de Orientación Vocacional en educación Año 2011. Ley Nacional de Educación N° 26206.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7.076416015625" w:line="262.9387664794922" w:lineRule="auto"/>
        <w:ind w:left="6.623992919921875" w:right="0.941162109375" w:firstLine="4.6366882324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Unidad III</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Las Instituciones educativas. Orientación educativa en el sistema formal: sus relaciones.  Orientación: definiciones. La Orientación Educativa: La orientación en la institución escolar. El  docente como orientador. El Asesor Pedagógico. El tutor: tutoría y grupos de aprendizaje. El  preceptor como orientador. La Orientación en la Formación docente.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0.623779296875" w:line="240" w:lineRule="auto"/>
        <w:ind w:left="11.481475830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62.93785095214844" w:lineRule="auto"/>
        <w:ind w:left="10.598297119140625" w:right="0.921630859375" w:hanging="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-Kaminsky, G. (1990) “Dispositivos Institucionales”. Ed. Lugar Editorial. Buenos Aires Krichesky, M.  (1999) “Proyectos de Orientación y Tutoría”. Ed: Piados. Buenos Aires.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2.423095703125" w:line="260.76547622680664" w:lineRule="auto"/>
        <w:ind w:left="14.793548583984375" w:right="0.662841796875" w:hanging="11.040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Nicastro, S y Andreozzi, M. (2006) Asesoramiento Pedagógico en Acción. La novela del asesor. Ed:  Paidós. Buenos Aires.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74.42138671875" w:line="261.85192108154297" w:lineRule="auto"/>
        <w:ind w:left="12.806396484375" w:right="1.007080078125" w:hanging="9.0528869628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-“Estrategias de Intervención con adolescentes. Resignificando la función socializadora del rol del  preceptor en la Escuela media actual”. III Foro de Educación y Psicología. Facultad de Psicología.  Universidad Nacional de Córdoba.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73.421630859375" w:line="261.1274242401123" w:lineRule="auto"/>
        <w:ind w:left="6.182403564453125" w:right="0.892333984375" w:hanging="2.4288940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-Documento del ministerio de Educación de la Nación: Aportes de la tutoría a la convivencia en la  escuela. Coordinación de programas para la construcción de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4.0887451171875" w:line="240" w:lineRule="auto"/>
        <w:ind w:left="5.9616088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ciudadanía en las Escuelas. Resolución 1290/2009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62.93813705444336" w:lineRule="auto"/>
        <w:ind w:left="0.220794677734375" w:right="0.335693359375" w:firstLine="11.0398864746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Unidad IV: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Experiencias pedagógicas emergentes en el campo de las ciencias de la Educación. El rol  pedagógico y político de los educadores en escenarios sociales y culturales. Educación forma, no  formal e informal.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0.023193359375" w:line="240" w:lineRule="auto"/>
        <w:ind w:left="11.481475830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3.5260009765625" w:line="260.7655334472656" w:lineRule="auto"/>
        <w:ind w:left="10.598297119140625" w:right="1.085205078125" w:hanging="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Krichesky, M. (Comp.) Pedagogía social y educación popular. Perspectivas y estrategias sobre la  inclusión y el derecho a la educación. Cuaderno Nº 2. La Plata, UNIPE, 2011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4.4219970703125" w:line="262.1236324310303" w:lineRule="auto"/>
        <w:ind w:left="6.182403564453125" w:right="0.440673828125" w:hanging="2.4288940429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-Villa, Martín, Pedersoli. Profesionalización y campo ocupacional de los graduados en ciencias de la  educación. 4° Congreso Nacional y 2° Internacional de Investigación Educativa, Universidad Nacional  del Comahe, Cipolletti, Rio Negro. 2007. Disponible en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73.17291259765625" w:line="240" w:lineRule="auto"/>
        <w:ind w:left="12.806396484375" w:right="0" w:firstLine="0"/>
        <w:jc w:val="left"/>
        <w:rPr>
          <w:rFonts w:ascii="Calibri" w:cs="Calibri" w:eastAsia="Calibri" w:hAnsi="Calibri"/>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http://face.uncoma.edu.ar/investigacion/congreso/articulos/area</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72674560546875" w:line="240" w:lineRule="auto"/>
        <w:ind w:left="3.97430419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%209/t215%20%20villa%20y%20otros%20-%20ponencia.pdf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1.12640380859375" w:line="262.8657817840576" w:lineRule="auto"/>
        <w:ind w:left="15.01434326171875" w:right="0.826416015625" w:hanging="11.26083374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Núñez, V. Pedagogía social. Cartas para navegar en el nuevo milenio. Santillana, Buenos Aires,  1999. Núñez, V. Pedagogía Social: un lugar para la educación frente a la asignación social de los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992919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destinos. Universidad de Barcelona, 2007.</w:t>
      </w:r>
    </w:p>
    <w:sectPr>
      <w:pgSz w:h="15840" w:w="12240" w:orient="portrait"/>
      <w:pgMar w:bottom="1666.0800170898438" w:top="1401.99951171875" w:left="1705.8335876464844" w:right="1649.6606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