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ahoma" w:cs="Tahoma" w:eastAsia="Tahoma" w:hAnsi="Tahoma"/>
          <w:b w:val="1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rtl w:val="0"/>
        </w:rPr>
        <w:t xml:space="preserve">INSTITUTO SUPERIOR DE PROFESORADO Nº 7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-139699</wp:posOffset>
                </wp:positionV>
                <wp:extent cx="5781675" cy="2581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9450" y="2503650"/>
                          <a:ext cx="5753100" cy="25527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-139699</wp:posOffset>
                </wp:positionV>
                <wp:extent cx="5781675" cy="25812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75" cy="258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rPr>
          <w:rFonts w:ascii="Tahoma" w:cs="Tahoma" w:eastAsia="Tahoma" w:hAnsi="Tahoma"/>
          <w:b w:val="1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rtl w:val="0"/>
        </w:rPr>
        <w:t xml:space="preserve"> PROFESORADO DE EDUCACION SUPERIOR EN CIENCIAS DE LA EDUCACION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ahoma" w:cs="Tahoma" w:eastAsia="Tahoma" w:hAnsi="Tahoma"/>
          <w:b w:val="1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rtl w:val="0"/>
        </w:rPr>
        <w:t xml:space="preserve">PSICOLOGIA Y CULTURA  II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ahoma" w:cs="Tahoma" w:eastAsia="Tahoma" w:hAnsi="Tahoma"/>
          <w:b w:val="1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rtl w:val="0"/>
        </w:rPr>
        <w:t xml:space="preserve">CURSO: 2do AÑO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ahoma" w:cs="Tahoma" w:eastAsia="Tahoma" w:hAnsi="Tahoma"/>
          <w:b w:val="1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rtl w:val="0"/>
        </w:rPr>
        <w:t xml:space="preserve">AÑO: 2020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ahoma" w:cs="Tahoma" w:eastAsia="Tahoma" w:hAnsi="Tahoma"/>
          <w:b w:val="1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rtl w:val="0"/>
        </w:rPr>
        <w:t xml:space="preserve">CANTIDAD DE HORAS SEMANALES: 4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ahoma" w:cs="Tahoma" w:eastAsia="Tahoma" w:hAnsi="Tahoma"/>
          <w:b w:val="1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rtl w:val="0"/>
        </w:rPr>
        <w:t xml:space="preserve">PROFESORA: MARIA LAURA GIUBERGIA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ahoma" w:cs="Tahoma" w:eastAsia="Tahoma" w:hAnsi="Tahoma"/>
          <w:b w:val="1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rtl w:val="0"/>
        </w:rPr>
        <w:t xml:space="preserve">PLAN APROBADO POR: Resolución Nº 260/03 Modificación RN 2025/10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Verdana" w:cs="Verdana" w:eastAsia="Verdana" w:hAnsi="Verdana"/>
          <w:b w:val="1"/>
          <w:color w:val="00b05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u w:val="single"/>
          <w:rtl w:val="0"/>
        </w:rPr>
        <w:t xml:space="preserve">PLANIFICACION ANUAL.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b w:val="1"/>
          <w:color w:val="00b05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u w:val="single"/>
          <w:rtl w:val="0"/>
        </w:rPr>
        <w:t xml:space="preserve">FUNDAMENTACION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Como futuros docentes de adolescentes, es fundamental para el ejercicio de la profesión, conocer, para comprender, las características fisiológicas, psicológica y socioculturales de los futuros alumnos, y de esta manera poder adecuar la tarea educativa.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Desde el aspecto fisiológico, se darán los cambios físicos y sus influencias en el desarrollo psico- social del adolescente.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También se tendrá en cuenta como influye en esta etapa, la cultura, y se indagará sobre las diversas expresiones y productos culturales propios de los adolescentes.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Otro de los aspectos que se tendrá en cuenta es el cognitivo, que procesos de aprendizaje ponen en juego los adolescentes cuando se enfrentan con una situación de aprendizaje.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 objetivo, es en definitiva, brindarles a los futuros docentes un conocimiento del alumno para que valore su futuro rol y pueda: comprender, respetar y orientar las manifestaciones conductuales; conducir las situaciones de enseñanza y que el conocer la sub- cultura adolescente le permita elaborar estrategias de intervención pedagógica, en esta etapa tan crítica que viven los adolescentes.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Verdana" w:cs="Verdana" w:eastAsia="Verdana" w:hAnsi="Verdana"/>
          <w:b w:val="1"/>
          <w:color w:val="00b05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u w:val="single"/>
          <w:rtl w:val="0"/>
        </w:rPr>
        <w:t xml:space="preserve">OBJETIVOS: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Que el alumno logre: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Conocer las características del desarrollo del adolescente para elaborar estrategias educativas y realizar intervenciones pedagógicas eficaces.</w:t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Comprender los problemas de esta etapa evolutiva, tanto en las actividades intelectuales como en aquellas en las que intervienen la afectividad del adolescente.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Identificar similitudes y diferencias en la vida cotidiana del púber en diferentes grupos y sectores sociales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Evaluar este periodo de la vida humana desde el punto de vista psicológico, en relación con la acción educativa, imprescindible para todo docente.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Valorar la necesidad de una mayor apertura a la libertad y creatividad adolescente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Requerir un alto nivel científico y didáctico a los alumnos, además de los valores morales para garantizar su formación integral</w:t>
      </w:r>
    </w:p>
    <w:p w:rsidR="00000000" w:rsidDel="00000000" w:rsidP="00000000" w:rsidRDefault="00000000" w:rsidRPr="00000000" w14:paraId="0000001B">
      <w:pPr>
        <w:spacing w:line="360" w:lineRule="auto"/>
        <w:ind w:left="68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Verdana" w:cs="Verdana" w:eastAsia="Verdana" w:hAnsi="Verdana"/>
          <w:b w:val="1"/>
          <w:color w:val="00b05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u w:val="single"/>
          <w:rtl w:val="0"/>
        </w:rPr>
        <w:t xml:space="preserve">PROPOSITOS: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Facilitar la comprensión de los textos específicos de la asignatura.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Propiciar la relación de la teoría con la realidad de la adolescencia hoy.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68" w:right="0" w:hanging="360"/>
        <w:jc w:val="both"/>
        <w:rPr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Propiciar el respeto por la diversidad cultural y social de cada alumno, para potenciar la circulación de conocimiento y lograr una integración escolar satisfactoria.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ahoma" w:cs="Tahoma" w:eastAsia="Tahoma" w:hAnsi="Tahoma"/>
          <w:b w:val="1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u w:val="single"/>
          <w:rtl w:val="0"/>
        </w:rPr>
        <w:t xml:space="preserve">SABERES PREVIOS: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ahoma" w:cs="Tahoma" w:eastAsia="Tahoma" w:hAnsi="Tahoma"/>
          <w:b w:val="1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u w:val="single"/>
          <w:rtl w:val="0"/>
        </w:rPr>
        <w:t xml:space="preserve">En relación con la asignatura: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Realización de lectura comprensiva de diferentes textos.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Relacionar los temas dados en Psicología y Cultura I, con los que se darán en Psicología y Cultura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ahoma" w:cs="Tahoma" w:eastAsia="Tahoma" w:hAnsi="Tahoma"/>
          <w:b w:val="1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u w:val="single"/>
          <w:rtl w:val="0"/>
        </w:rPr>
        <w:t xml:space="preserve">En relación con el manejo de TIC: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Manejo básico de procesadores de textos y de programas de presentación digital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Uso del correo electrónico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Búsqueda de contenidos en internet (diversos formatos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c55911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ahoma" w:cs="Tahoma" w:eastAsia="Tahoma" w:hAnsi="Tahoma"/>
          <w:b w:val="1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u w:val="single"/>
          <w:rtl w:val="0"/>
        </w:rPr>
        <w:t xml:space="preserve">CONTENIDOS.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ahoma" w:cs="Tahoma" w:eastAsia="Tahoma" w:hAnsi="Tahoma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u w:val="single"/>
          <w:rtl w:val="0"/>
        </w:rPr>
        <w:t xml:space="preserve">UNIDAD 1</w:t>
      </w:r>
      <w:r w:rsidDel="00000000" w:rsidR="00000000" w:rsidRPr="00000000">
        <w:rPr>
          <w:rFonts w:ascii="Tahoma" w:cs="Tahoma" w:eastAsia="Tahoma" w:hAnsi="Tahoma"/>
          <w:color w:val="00b050"/>
          <w:rtl w:val="0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Importancia del estudio de la Psicología del Adolescente para los futuros docentes.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Adolescencia: Definición, características.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Teoría Psicoanalítica.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Teoría Sociológica.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Teoría Piagetiana.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Algunos autores representativos de cada una, como Anna Freud, Arminda Aberastury, Jean Piaget y otros.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8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b05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b050"/>
          <w:sz w:val="22"/>
          <w:szCs w:val="22"/>
          <w:u w:val="single"/>
          <w:shd w:fill="auto" w:val="clear"/>
          <w:vertAlign w:val="baseline"/>
          <w:rtl w:val="0"/>
        </w:rPr>
        <w:t xml:space="preserve">UNIDAD 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b05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Transformaciones que vive el adolescente desde el punto de vista físico,  psíquico y cognitivo.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Crisis en el sentimiento de identidad: vínculos espacial, temporal y social.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Identidad sexual.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Crisis en la imagen corporal: factores psicológicos, fisiológicos, sociales.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Independencia y procesos de desprendimiento.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La maduración de YO.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Necesidades y procesos de adaptación  del adolescente.</w:t>
      </w:r>
    </w:p>
    <w:p w:rsidR="00000000" w:rsidDel="00000000" w:rsidP="00000000" w:rsidRDefault="00000000" w:rsidRPr="00000000" w14:paraId="00000039">
      <w:pPr>
        <w:spacing w:line="360" w:lineRule="auto"/>
        <w:ind w:left="68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ahoma" w:cs="Tahoma" w:eastAsia="Tahoma" w:hAnsi="Tahoma"/>
          <w:b w:val="1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u w:val="single"/>
          <w:rtl w:val="0"/>
        </w:rPr>
        <w:t xml:space="preserve">UNIDAD 3</w:t>
      </w:r>
      <w:r w:rsidDel="00000000" w:rsidR="00000000" w:rsidRPr="00000000">
        <w:rPr>
          <w:rFonts w:ascii="Tahoma" w:cs="Tahoma" w:eastAsia="Tahoma" w:hAnsi="Tahoma"/>
          <w:b w:val="1"/>
          <w:color w:val="00b050"/>
          <w:rtl w:val="0"/>
        </w:rPr>
        <w:t xml:space="preserve">: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Vínculos con la familia. Definición de familia. Clasificación.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Relaciones con los padres. Brecha generacional.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Dificultades en la comunidad.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Autonomía y vida grupal.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Rebelión y adaptación social.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Valores, sexualidad y  amor.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Desarrollo moral y estético.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El juicio moral del adolescente.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Estilos de comunicación y participación.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El adolescente y el mundo de la cultura. Lenguaje adolescente.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El adolescente y el mundo social: entrada en la sociedad adulta.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Las amistades adolescentes.</w:t>
      </w:r>
    </w:p>
    <w:p w:rsidR="00000000" w:rsidDel="00000000" w:rsidP="00000000" w:rsidRDefault="00000000" w:rsidRPr="00000000" w14:paraId="00000047">
      <w:pPr>
        <w:spacing w:line="360" w:lineRule="auto"/>
        <w:ind w:left="68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ahoma" w:cs="Tahoma" w:eastAsia="Tahoma" w:hAnsi="Tahoma"/>
          <w:b w:val="1"/>
          <w:color w:val="00b050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u w:val="single"/>
          <w:rtl w:val="0"/>
        </w:rPr>
        <w:t xml:space="preserve">UNIDAD 4</w:t>
      </w:r>
      <w:r w:rsidDel="00000000" w:rsidR="00000000" w:rsidRPr="00000000">
        <w:rPr>
          <w:rFonts w:ascii="Tahoma" w:cs="Tahoma" w:eastAsia="Tahoma" w:hAnsi="Tahoma"/>
          <w:b w:val="1"/>
          <w:color w:val="00b050"/>
          <w:rtl w:val="0"/>
        </w:rPr>
        <w:t xml:space="preserve">: </w:t>
      </w:r>
    </w:p>
    <w:p w:rsidR="00000000" w:rsidDel="00000000" w:rsidP="00000000" w:rsidRDefault="00000000" w:rsidRPr="00000000" w14:paraId="00000049">
      <w:pPr>
        <w:spacing w:line="360" w:lineRule="auto"/>
        <w:ind w:left="68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Los comienzos del pensamiento científico: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El razonamiento experimental.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Las características del periodo formal.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La disociación de factores.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La formulación y comprobación de hipótesis.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La combinatoria. La lógica de proposiciones.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Las capacidades lógicas.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El pensamiento científico y social.</w:t>
      </w:r>
    </w:p>
    <w:p w:rsidR="00000000" w:rsidDel="00000000" w:rsidP="00000000" w:rsidRDefault="00000000" w:rsidRPr="00000000" w14:paraId="00000051">
      <w:pPr>
        <w:spacing w:line="360" w:lineRule="auto"/>
        <w:ind w:left="68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rFonts w:ascii="Tahoma" w:cs="Tahoma" w:eastAsia="Tahoma" w:hAnsi="Tahoma"/>
          <w:b w:val="1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u w:val="single"/>
          <w:rtl w:val="0"/>
        </w:rPr>
        <w:t xml:space="preserve">UNIDAD 5.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8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adolescente en la escuela:</w:t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Conductas y actitudes. Participación áulica.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Cambio de escenario social, experiencia juvenil urbana y escuela.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La escuela constructora de subjetividad.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El papel del docente como agente de cambio.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Adolescencia, posmodernidad y escuela secundaria.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spacing w:after="0" w:line="360" w:lineRule="auto"/>
        <w:ind w:left="68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Condicionamientos posmodernos en la orientación vocacional del adolescente.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Tahoma" w:cs="Tahoma" w:eastAsia="Tahoma" w:hAnsi="Tahoma"/>
          <w:color w:val="c5591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Tahoma" w:cs="Tahoma" w:eastAsia="Tahoma" w:hAnsi="Tahoma"/>
          <w:b w:val="1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u w:val="single"/>
          <w:rtl w:val="0"/>
        </w:rPr>
        <w:t xml:space="preserve">TEMPORALIDAD: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I: 7 clases de 80 minutos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II: 15 clases de 80 minutos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III: 15 clases de 80 minutos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7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IV: 8 clases de 80 minutos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97" w:right="0" w:hanging="360"/>
        <w:jc w:val="both"/>
        <w:rPr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Unidad V : 8 clases de 80 minutos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Verdana" w:cs="Verdana" w:eastAsia="Verdana" w:hAnsi="Verdana"/>
          <w:b w:val="1"/>
          <w:color w:val="00b0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Tahoma" w:cs="Tahoma" w:eastAsia="Tahoma" w:hAnsi="Tahoma"/>
          <w:b w:val="1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00b050"/>
          <w:u w:val="single"/>
          <w:rtl w:val="0"/>
        </w:rPr>
        <w:t xml:space="preserve">EVALUACION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Tahoma" w:cs="Tahoma" w:eastAsia="Tahoma" w:hAnsi="Tahoma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color w:val="00b050"/>
          <w:u w:val="single"/>
          <w:rtl w:val="0"/>
        </w:rPr>
        <w:t xml:space="preserve">Criterios de evaluación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97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Precisión en la utilización de conceptos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97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Manejo de vocabulario especifico.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97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Capacidad para establecer relaciones entre los contenidos.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Tahoma" w:cs="Tahoma" w:eastAsia="Tahoma" w:hAnsi="Tahoma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color w:val="00b050"/>
          <w:u w:val="single"/>
          <w:rtl w:val="0"/>
        </w:rPr>
        <w:t xml:space="preserve">Instrumentos.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Parcial oral y/o escrito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Trabajos prácticos grupales e individuales.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69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Exposición oral, de al menos uno, de los trabajos practicos.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Tahoma" w:cs="Tahoma" w:eastAsia="Tahoma" w:hAnsi="Tahoma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color w:val="00b050"/>
          <w:u w:val="single"/>
          <w:rtl w:val="0"/>
        </w:rPr>
        <w:t xml:space="preserve">Temporalidad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finalizar cada cuatrimestre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69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Examen final.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Tahoma" w:cs="Tahoma" w:eastAsia="Tahoma" w:hAnsi="Tahoma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color w:val="00b050"/>
          <w:u w:val="single"/>
          <w:rtl w:val="0"/>
        </w:rPr>
        <w:t xml:space="preserve">Condiciones para el cursado y aprobación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5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 con cursado presencial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teniendo 75% de asistencia Pueden promover, solo aquellos alumnos que sean regulares con cursado presencial y tengan  el 100% de los trabajos practico y parciales con una calificación de 8 (ocho) o más.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5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5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 con cursado semi presencial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teniendo 40% de asistencia. El alumno regular con cursado semi presencial, regularizará la materia con una calificación, tanto en los parciales, como en los trabajos practico, de 6(seis) como mínimo.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5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regularidad tendrá validez durante tres años consecutivos, a partir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 tumo correspondiente al año lectivo siguiente a! de la cursada. Para aprobar la materia deberán rendir un examen final y la calificación será de 6 (seis) como mínimo.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5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5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deben programar dos encuentros mínimo con la docente de la catedra y respetar  los tiempos  y condiciones estipulados en el RAI, Art. 33. Para poder aprobar deberán rendir un examen final en los turnos Nov./ Dic. o Feb./ Mz. La calificación deberá ser 6 (seis) como mínimo.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="360" w:lineRule="auto"/>
        <w:jc w:val="both"/>
        <w:rPr>
          <w:rFonts w:ascii="Tahoma" w:cs="Tahoma" w:eastAsia="Tahoma" w:hAnsi="Tahoma"/>
          <w:color w:val="00b050"/>
          <w:u w:val="single"/>
        </w:rPr>
      </w:pPr>
      <w:r w:rsidDel="00000000" w:rsidR="00000000" w:rsidRPr="00000000">
        <w:rPr>
          <w:rFonts w:ascii="Tahoma" w:cs="Tahoma" w:eastAsia="Tahoma" w:hAnsi="Tahoma"/>
          <w:color w:val="00b050"/>
          <w:u w:val="single"/>
          <w:rtl w:val="0"/>
        </w:rPr>
        <w:t xml:space="preserve">Condiciones de acreditación durante la cursada virtual </w:t>
      </w:r>
    </w:p>
    <w:p w:rsidR="00000000" w:rsidDel="00000000" w:rsidP="00000000" w:rsidRDefault="00000000" w:rsidRPr="00000000" w14:paraId="00000078">
      <w:pPr>
        <w:spacing w:after="240" w:before="240"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Según lo pautado en el Dto. 4199/15. Reglamento Académico Marco. De acuerdo a lo establecido por la normativa vigente (Dto. 4199/15, art. 27) los/as estudiantes podrán optar por las siguientes condiciones: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8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Libre: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es necesario que entregue los trabajos durante el período virtual ni presencial (cada docente expresará en su planificación posibles consultas)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Regular presencial: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tendrá que entregar el 100% de instancias evaluativas (obligatorias) acreditables aprobadas con calificación 6 (seis) o más, en el período virtual y presencial. En caso de que los estudiantes obtengan calificaciones que promedien 8 (ocho) podrán acceder al coloquio que habilite la promoción directa.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780" w:right="0" w:hanging="360"/>
        <w:jc w:val="both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semi-presencial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tendrá que entregar el 80% de instancias evaluativas acreditables aprobadas con calificación 6 (seis) o más, en el período virtual y presencial. </w:t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rFonts w:ascii="Verdana" w:cs="Verdana" w:eastAsia="Verdana" w:hAnsi="Verdana"/>
          <w:b w:val="1"/>
          <w:color w:val="00b05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b050"/>
          <w:u w:val="single"/>
          <w:rtl w:val="0"/>
        </w:rPr>
        <w:t xml:space="preserve">BIBLIOGRAFIAS</w:t>
      </w:r>
    </w:p>
    <w:p w:rsidR="00000000" w:rsidDel="00000000" w:rsidP="00000000" w:rsidRDefault="00000000" w:rsidRPr="00000000" w14:paraId="0000007D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Freud, Osterrieth, Piaget, y otros. “El desarrollo del adolescente”. Ed. Paidos.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Grimberg y Grimberg. “Identidad y cambio”. Ed. Paidos.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Erikson. “Infancia y sociedad”.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Freud. “Psicoanálisis del desarrollo del niño y del adolescente”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G. Obiols y S. De Obiols. “Adolescencia, posmodernidad y escuela secundaria” Ed. Kapeluz.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Deval, Juan. “El desarrollo humano”, Ed. Siglo XXI.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Javkin, Mirta. “Adolescencia: Prologo para una adultez entera” Ed. Homo Sapiens.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Bianchi, Ariel, “Psicología de la adolescencia”, Ed. Troquel.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Bianchi, Ariel, “Adolescencia: Epifanía y temporalidad.” Ed. De la Revista del  Instituto de Investigación Educativa.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Aberantury, “Adolescencia” Ed. Kapeluz.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Duschatzky, Silvia. “La escuela como frontera”. Revista Propuesta educativa. Nº 18. Págs. 4- 14.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5"/>
        </w:numPr>
        <w:spacing w:after="0" w:line="360" w:lineRule="auto"/>
        <w:ind w:left="340" w:firstLine="0"/>
        <w:jc w:val="both"/>
        <w:rPr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Stassen Berger, K. “El desarrollo de la persona desde la niñez hasta la adolescencia” Ed. Panamericana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5"/>
        </w:numPr>
        <w:spacing w:after="0" w:line="360" w:lineRule="auto"/>
        <w:ind w:left="34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Piaget, Jean, “Seis Estudios de Psicología.” Ed. Ariel</w:t>
      </w:r>
    </w:p>
    <w:p w:rsidR="00000000" w:rsidDel="00000000" w:rsidP="00000000" w:rsidRDefault="00000000" w:rsidRPr="00000000" w14:paraId="0000008A">
      <w:pPr>
        <w:numPr>
          <w:ilvl w:val="0"/>
          <w:numId w:val="15"/>
        </w:numPr>
        <w:spacing w:after="0" w:line="360" w:lineRule="auto"/>
        <w:ind w:left="34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S. de Obiols., “ Adultos en crisis, jóvenes a la deriva”, Ed. Noveduc</w:t>
      </w:r>
    </w:p>
    <w:p w:rsidR="00000000" w:rsidDel="00000000" w:rsidP="00000000" w:rsidRDefault="00000000" w:rsidRPr="00000000" w14:paraId="0000008B">
      <w:pPr>
        <w:numPr>
          <w:ilvl w:val="0"/>
          <w:numId w:val="15"/>
        </w:numPr>
        <w:spacing w:after="0" w:line="360" w:lineRule="auto"/>
        <w:ind w:left="34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Erikson, E. “Ocho edades del hombre.” </w:t>
      </w:r>
    </w:p>
    <w:p w:rsidR="00000000" w:rsidDel="00000000" w:rsidP="00000000" w:rsidRDefault="00000000" w:rsidRPr="00000000" w14:paraId="0000008C">
      <w:pPr>
        <w:numPr>
          <w:ilvl w:val="0"/>
          <w:numId w:val="15"/>
        </w:numPr>
        <w:spacing w:after="0" w:line="360" w:lineRule="auto"/>
        <w:ind w:left="34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Giberti, E “La familia a pesar de todo” Ed. Noveduc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http://consultapsicologicamadrid.com/adolescencia-y-amistad/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https://diazatienza.es/2018/03/19/las-amistades-la-pubertad-la-adolescencia-fortalezas-riesgos/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http://psicologia-malenalede.blogspot.com/2010/09/adolescentes-y-familia.html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https://www.researchgate.net/publication/315664054_El_adolescente_y_sus_relaciones_con_la_familia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https://baixardoc.com/documents/juan-delval-la-pubertad-y-la-adolescencia-5ceeebf884112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5" w:before="0" w:line="360" w:lineRule="auto"/>
        <w:ind w:left="720" w:right="0" w:hanging="36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http://www.locally.com.ar/2017/08/06/la-importancia-de-la-imagen-corporal-en-la-adolescencia/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5"/>
        </w:numPr>
        <w:spacing w:after="0" w:line="360" w:lineRule="auto"/>
        <w:ind w:left="340" w:firstLine="0"/>
        <w:jc w:val="both"/>
        <w:rPr/>
      </w:pPr>
      <w:r w:rsidDel="00000000" w:rsidR="00000000" w:rsidRPr="00000000">
        <w:rPr>
          <w:rFonts w:ascii="Tahoma" w:cs="Tahoma" w:eastAsia="Tahoma" w:hAnsi="Tahoma"/>
          <w:rtl w:val="0"/>
        </w:rPr>
        <w:t xml:space="preserve">Elbaum, J “Los jóvenes de ayer y de hoy” Equipo multimedia de apoyo a la enseñanza, Dirección Nacional de Gestión Curricular y Formación Docente (2008)</w:t>
      </w:r>
    </w:p>
    <w:p w:rsidR="00000000" w:rsidDel="00000000" w:rsidP="00000000" w:rsidRDefault="00000000" w:rsidRPr="00000000" w14:paraId="00000094">
      <w:pPr>
        <w:spacing w:after="0" w:line="360" w:lineRule="auto"/>
        <w:ind w:left="34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360" w:lineRule="auto"/>
        <w:ind w:left="34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ind w:left="34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60" w:lineRule="auto"/>
        <w:ind w:left="340" w:firstLine="0"/>
        <w:jc w:val="both"/>
        <w:rPr>
          <w:rFonts w:ascii="Verdana" w:cs="Verdana" w:eastAsia="Verdana" w:hAnsi="Verdana"/>
          <w:b w:val="1"/>
          <w:color w:val="00b05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ind w:left="34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6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Verdana" w:cs="Verdana" w:eastAsia="Verdana" w:hAnsi="Verdana"/>
          <w:b w:val="1"/>
          <w:color w:val="00b050"/>
          <w:u w:val="single"/>
        </w:rPr>
      </w:pPr>
      <w:r w:rsidDel="00000000" w:rsidR="00000000" w:rsidRPr="00000000">
        <w:rPr>
          <w:rtl w:val="0"/>
        </w:rPr>
      </w:r>
    </w:p>
    <w:sectPr>
      <w:pgSz w:h="16839" w:w="11907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≈"/>
      <w:lvlJc w:val="left"/>
      <w:pPr>
        <w:ind w:left="786" w:hanging="360.00000000000006"/>
      </w:pPr>
      <w:rPr>
        <w:rFonts w:ascii="Noto Sans Symbols" w:cs="Noto Sans Symbols" w:eastAsia="Noto Sans Symbols" w:hAnsi="Noto Sans Symbols"/>
        <w:color w:val="00b05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≈"/>
      <w:lvlJc w:val="left"/>
      <w:pPr>
        <w:ind w:left="851" w:firstLine="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≈"/>
      <w:lvlJc w:val="left"/>
      <w:pPr>
        <w:ind w:left="851" w:firstLine="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≈"/>
      <w:lvlJc w:val="left"/>
      <w:pPr>
        <w:ind w:left="851" w:firstLine="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≈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≈"/>
      <w:lvlJc w:val="left"/>
      <w:pPr>
        <w:ind w:left="851" w:firstLine="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≈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≈"/>
      <w:lvlJc w:val="left"/>
      <w:pPr>
        <w:ind w:left="851" w:firstLine="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≈"/>
      <w:lvlJc w:val="left"/>
      <w:pPr>
        <w:ind w:left="1069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≈"/>
      <w:lvlJc w:val="left"/>
      <w:pPr>
        <w:ind w:left="1069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≈"/>
      <w:lvlJc w:val="left"/>
      <w:pPr>
        <w:ind w:left="795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≈"/>
      <w:lvlJc w:val="left"/>
      <w:pPr>
        <w:ind w:left="851" w:firstLine="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≈"/>
      <w:lvlJc w:val="left"/>
      <w:pPr>
        <w:ind w:left="12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7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72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≈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≈"/>
      <w:lvlJc w:val="left"/>
      <w:pPr>
        <w:ind w:left="567" w:firstLine="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≈"/>
      <w:lvlJc w:val="left"/>
      <w:pPr>
        <w:ind w:left="780" w:hanging="360"/>
      </w:pPr>
      <w:rPr>
        <w:rFonts w:ascii="Noto Sans Symbols" w:cs="Noto Sans Symbols" w:eastAsia="Noto Sans Symbols" w:hAnsi="Noto Sans Symbols"/>
        <w:b w:val="1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≈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baixardoc.com/documents/juan-delval-la-pubertad-y-la-adolescencia-5ceeebf884112" TargetMode="External"/><Relationship Id="rId10" Type="http://schemas.openxmlformats.org/officeDocument/2006/relationships/hyperlink" Target="https://www.researchgate.net/publication/315664054_El_adolescente_y_sus_relaciones_con_la_familia" TargetMode="External"/><Relationship Id="rId12" Type="http://schemas.openxmlformats.org/officeDocument/2006/relationships/hyperlink" Target="http://www.locally.com.ar/2017/08/06/la-importancia-de-la-imagen-corporal-en-la-adolescencia/" TargetMode="External"/><Relationship Id="rId9" Type="http://schemas.openxmlformats.org/officeDocument/2006/relationships/hyperlink" Target="http://psicologia-malenalede.blogspot.com/2010/09/adolescentes-y-familia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consultapsicologicamadrid.com/adolescencia-y-amistad/" TargetMode="External"/><Relationship Id="rId8" Type="http://schemas.openxmlformats.org/officeDocument/2006/relationships/hyperlink" Target="https://diazatienza.es/2018/03/19/las-amistades-la-pubertad-la-adolescencia-fortalezas-riesgo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